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E90798" w14:textId="77777777" w:rsidR="00FA4B75" w:rsidRDefault="00FA4B75" w:rsidP="00FA4B75">
      <w:pPr>
        <w:pStyle w:val="NoSpacing"/>
        <w:tabs>
          <w:tab w:val="left" w:pos="-284"/>
        </w:tabs>
        <w:ind w:left="2268" w:hanging="2268"/>
        <w:rPr>
          <w:b/>
          <w:sz w:val="52"/>
          <w:szCs w:val="52"/>
        </w:rPr>
      </w:pPr>
      <w:r>
        <w:rPr>
          <w:b/>
          <w:sz w:val="52"/>
          <w:szCs w:val="52"/>
        </w:rPr>
        <w:softHyphen/>
      </w:r>
      <w:r>
        <w:rPr>
          <w:b/>
          <w:sz w:val="52"/>
          <w:szCs w:val="52"/>
        </w:rPr>
        <w:tab/>
      </w:r>
      <w:r>
        <w:rPr>
          <w:b/>
          <w:sz w:val="52"/>
          <w:szCs w:val="52"/>
        </w:rPr>
        <w:tab/>
      </w:r>
      <w:r>
        <w:rPr>
          <w:b/>
          <w:sz w:val="52"/>
          <w:szCs w:val="52"/>
        </w:rPr>
        <w:tab/>
      </w:r>
      <w:r>
        <w:rPr>
          <w:b/>
          <w:sz w:val="52"/>
          <w:szCs w:val="52"/>
        </w:rPr>
        <w:tab/>
      </w:r>
      <w:r>
        <w:rPr>
          <w:b/>
          <w:sz w:val="52"/>
          <w:szCs w:val="52"/>
        </w:rPr>
        <w:tab/>
      </w:r>
      <w:r>
        <w:rPr>
          <w:b/>
          <w:sz w:val="52"/>
          <w:szCs w:val="52"/>
        </w:rPr>
        <w:tab/>
      </w:r>
      <w:r>
        <w:rPr>
          <w:b/>
          <w:noProof/>
          <w:sz w:val="52"/>
          <w:szCs w:val="52"/>
          <w:lang w:eastAsia="da-DK"/>
        </w:rPr>
        <w:drawing>
          <wp:inline distT="0" distB="0" distL="0" distR="0" wp14:anchorId="1D37AC72" wp14:editId="7BDF4AA8">
            <wp:extent cx="857250" cy="781050"/>
            <wp:effectExtent l="19050" t="0" r="0" b="0"/>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857250" cy="781050"/>
                    </a:xfrm>
                    <a:prstGeom prst="rect">
                      <a:avLst/>
                    </a:prstGeom>
                    <a:noFill/>
                    <a:ln w="9525">
                      <a:noFill/>
                      <a:miter lim="800000"/>
                      <a:headEnd/>
                      <a:tailEnd/>
                    </a:ln>
                  </pic:spPr>
                </pic:pic>
              </a:graphicData>
            </a:graphic>
          </wp:inline>
        </w:drawing>
      </w:r>
    </w:p>
    <w:p w14:paraId="11D4F8F6" w14:textId="77777777" w:rsidR="00FA4B75" w:rsidRDefault="00FA4B75" w:rsidP="00FA4B75">
      <w:pPr>
        <w:pStyle w:val="NoSpacing"/>
        <w:tabs>
          <w:tab w:val="left" w:pos="-284"/>
        </w:tabs>
        <w:ind w:left="2268" w:hanging="2268"/>
        <w:rPr>
          <w:b/>
        </w:rPr>
      </w:pPr>
    </w:p>
    <w:p w14:paraId="325FA553" w14:textId="77777777" w:rsidR="00FA4B75" w:rsidRPr="00D0202B" w:rsidRDefault="00FA4B75" w:rsidP="00FA4B75">
      <w:pPr>
        <w:pStyle w:val="NoSpacing"/>
        <w:tabs>
          <w:tab w:val="left" w:pos="-284"/>
        </w:tabs>
        <w:ind w:left="2268" w:hanging="2268"/>
        <w:rPr>
          <w:b/>
        </w:rPr>
      </w:pPr>
    </w:p>
    <w:p w14:paraId="1A561E39" w14:textId="77777777" w:rsidR="00FA4B75" w:rsidRPr="005C3022" w:rsidRDefault="00FA4B75" w:rsidP="00FA4B75">
      <w:pPr>
        <w:pStyle w:val="NoSpacing"/>
        <w:tabs>
          <w:tab w:val="left" w:pos="-284"/>
        </w:tabs>
        <w:ind w:left="2268" w:hanging="2268"/>
        <w:rPr>
          <w:b/>
          <w:sz w:val="52"/>
          <w:szCs w:val="52"/>
        </w:rPr>
      </w:pPr>
      <w:r>
        <w:rPr>
          <w:b/>
          <w:sz w:val="52"/>
          <w:szCs w:val="52"/>
        </w:rPr>
        <w:tab/>
      </w:r>
      <w:r w:rsidRPr="005C3022">
        <w:rPr>
          <w:b/>
          <w:sz w:val="52"/>
          <w:szCs w:val="52"/>
        </w:rPr>
        <w:t>SPORTSPLAN</w:t>
      </w:r>
      <w:r>
        <w:rPr>
          <w:b/>
          <w:sz w:val="52"/>
          <w:szCs w:val="52"/>
        </w:rPr>
        <w:t xml:space="preserve"> </w:t>
      </w:r>
      <w:r>
        <w:rPr>
          <w:b/>
          <w:sz w:val="52"/>
          <w:szCs w:val="52"/>
        </w:rPr>
        <w:tab/>
      </w:r>
      <w:r w:rsidRPr="005C3022">
        <w:rPr>
          <w:b/>
          <w:sz w:val="52"/>
          <w:szCs w:val="52"/>
        </w:rPr>
        <w:t>202</w:t>
      </w:r>
      <w:r>
        <w:rPr>
          <w:b/>
          <w:sz w:val="52"/>
          <w:szCs w:val="52"/>
        </w:rPr>
        <w:t>4</w:t>
      </w:r>
      <w:r w:rsidR="00014BF5">
        <w:rPr>
          <w:b/>
          <w:sz w:val="52"/>
          <w:szCs w:val="52"/>
        </w:rPr>
        <w:t>-25</w:t>
      </w:r>
    </w:p>
    <w:p w14:paraId="74D2259A" w14:textId="77777777" w:rsidR="00FA4B75" w:rsidRDefault="00FA4B75" w:rsidP="00FA4B75">
      <w:pPr>
        <w:pStyle w:val="NoSpacing"/>
        <w:ind w:left="2268" w:hanging="2268"/>
      </w:pPr>
    </w:p>
    <w:p w14:paraId="3CF98E4A" w14:textId="77777777" w:rsidR="00FA4B75" w:rsidRDefault="00FA4B75" w:rsidP="00FA4B75">
      <w:pPr>
        <w:pStyle w:val="NoSpacing"/>
        <w:ind w:left="2268" w:hanging="2268"/>
      </w:pPr>
    </w:p>
    <w:p w14:paraId="4CD484C6" w14:textId="77777777" w:rsidR="00FA4B75" w:rsidRDefault="00FA4B75" w:rsidP="00FA4B75">
      <w:pPr>
        <w:pStyle w:val="NoSpacing"/>
        <w:ind w:left="2268" w:hanging="2268"/>
      </w:pPr>
      <w:r w:rsidRPr="005C3022">
        <w:rPr>
          <w:b/>
        </w:rPr>
        <w:t>Introduktion</w:t>
      </w:r>
      <w:r>
        <w:tab/>
      </w:r>
      <w:r w:rsidRPr="00B474DF">
        <w:t>Denne sportsplan er møntet på den sportslige udvikling af TREC i Danmark som sportsgren for udøvere på højeste plan.</w:t>
      </w:r>
      <w:r>
        <w:t xml:space="preserve"> Ekvipagernes deltagelse ved EM/VM skal udover den internationale deltagelse gerne danne grundlag for udvikling af disciplinens bredde.</w:t>
      </w:r>
    </w:p>
    <w:p w14:paraId="0FF67C3F" w14:textId="77777777" w:rsidR="00FA4B75" w:rsidRDefault="00FA4B75" w:rsidP="00FA4B75">
      <w:pPr>
        <w:pStyle w:val="NoSpacing"/>
        <w:ind w:left="2268" w:hanging="2268"/>
      </w:pPr>
    </w:p>
    <w:p w14:paraId="7E0927F8" w14:textId="77777777" w:rsidR="00014BF5" w:rsidRDefault="00014BF5" w:rsidP="00FA4B75">
      <w:pPr>
        <w:pStyle w:val="NoSpacing"/>
        <w:ind w:left="2268" w:hanging="2268"/>
      </w:pPr>
    </w:p>
    <w:p w14:paraId="404F3FF1" w14:textId="77777777" w:rsidR="00FA4B75" w:rsidRDefault="00FA4B75" w:rsidP="00FA4B75">
      <w:pPr>
        <w:pStyle w:val="NoSpacing"/>
        <w:ind w:left="2268" w:hanging="2268"/>
      </w:pPr>
      <w:r w:rsidRPr="005C3022">
        <w:rPr>
          <w:b/>
        </w:rPr>
        <w:t>Formål</w:t>
      </w:r>
      <w:r>
        <w:rPr>
          <w:b/>
        </w:rPr>
        <w:tab/>
      </w:r>
      <w:r w:rsidRPr="005C3022">
        <w:t>Sportsplanen har til formål at informere om sæsone</w:t>
      </w:r>
      <w:r>
        <w:t>r</w:t>
      </w:r>
      <w:r w:rsidRPr="005C3022">
        <w:t>n</w:t>
      </w:r>
      <w:r>
        <w:t>e</w:t>
      </w:r>
      <w:r w:rsidRPr="005C3022">
        <w:t xml:space="preserve">s </w:t>
      </w:r>
      <w:r>
        <w:t>krav til internationale ryttere og fastlæggelse af de sportslige målsætninger for udtagelse og deltagelse til at repræsentere TREC Danmark ved stævner i udlandet og EM/VM</w:t>
      </w:r>
      <w:r w:rsidRPr="005C3022">
        <w:t xml:space="preserve">. </w:t>
      </w:r>
    </w:p>
    <w:p w14:paraId="3B54DB4A" w14:textId="77777777" w:rsidR="00FA4B75" w:rsidRDefault="00FA4B75" w:rsidP="00FA4B75">
      <w:pPr>
        <w:pStyle w:val="NoSpacing"/>
        <w:ind w:left="2268" w:hanging="2268"/>
      </w:pPr>
      <w:r>
        <w:tab/>
        <w:t xml:space="preserve">Det indebærer </w:t>
      </w:r>
      <w:r w:rsidRPr="005C3022">
        <w:t>en åben og transparent måde at afstemme</w:t>
      </w:r>
      <w:r>
        <w:t xml:space="preserve"> </w:t>
      </w:r>
      <w:r w:rsidRPr="005C3022">
        <w:t xml:space="preserve">krav og forventninger til de </w:t>
      </w:r>
      <w:r>
        <w:t>rytterne og TREC Danmarks bestyrelse</w:t>
      </w:r>
      <w:r w:rsidRPr="005C3022">
        <w:t>.</w:t>
      </w:r>
    </w:p>
    <w:p w14:paraId="416D7E73" w14:textId="77777777" w:rsidR="00FA4B75" w:rsidRDefault="00FA4B75" w:rsidP="00FA4B75">
      <w:pPr>
        <w:pStyle w:val="NoSpacing"/>
        <w:ind w:left="2268" w:hanging="2268"/>
      </w:pPr>
    </w:p>
    <w:p w14:paraId="2098D014" w14:textId="77777777" w:rsidR="00FA4B75" w:rsidRDefault="00FA4B75" w:rsidP="00FA4B75">
      <w:pPr>
        <w:pStyle w:val="NoSpacing"/>
        <w:ind w:left="2268" w:hanging="2268"/>
      </w:pPr>
      <w:r>
        <w:tab/>
      </w:r>
      <w:r w:rsidRPr="005C3022">
        <w:t>Sportsplanen skal</w:t>
      </w:r>
      <w:r>
        <w:t xml:space="preserve"> også</w:t>
      </w:r>
      <w:r w:rsidRPr="005C3022">
        <w:t xml:space="preserve"> være pejlemærke for</w:t>
      </w:r>
      <w:r>
        <w:t xml:space="preserve"> </w:t>
      </w:r>
      <w:r w:rsidRPr="005C3022">
        <w:t>de normer, vær</w:t>
      </w:r>
      <w:r>
        <w:t xml:space="preserve">dier og retningslinjer, man som rytter </w:t>
      </w:r>
      <w:r w:rsidRPr="005C3022">
        <w:t xml:space="preserve">i </w:t>
      </w:r>
      <w:r>
        <w:t xml:space="preserve">TREC Danmark </w:t>
      </w:r>
      <w:r w:rsidRPr="005C3022">
        <w:t>skal være</w:t>
      </w:r>
      <w:r>
        <w:t xml:space="preserve"> </w:t>
      </w:r>
      <w:r w:rsidRPr="005C3022">
        <w:t xml:space="preserve">ambassadører for og virke under. </w:t>
      </w:r>
    </w:p>
    <w:p w14:paraId="217361FD" w14:textId="77777777" w:rsidR="00FA4B75" w:rsidRDefault="00FA4B75" w:rsidP="00FA4B75">
      <w:pPr>
        <w:pStyle w:val="NoSpacing"/>
        <w:ind w:left="2268" w:hanging="2268"/>
      </w:pPr>
    </w:p>
    <w:p w14:paraId="6282EEC4" w14:textId="77777777" w:rsidR="00FA4B75" w:rsidRDefault="00FA4B75" w:rsidP="00FA4B75">
      <w:pPr>
        <w:pStyle w:val="NoSpacing"/>
        <w:ind w:left="2268" w:hanging="2268"/>
      </w:pPr>
      <w:r>
        <w:tab/>
      </w:r>
      <w:r w:rsidRPr="005C3022">
        <w:t xml:space="preserve">Sportsplanen skal </w:t>
      </w:r>
      <w:r>
        <w:t xml:space="preserve">desuden bidrage til at øge rekrutteringen til TREC, hæve </w:t>
      </w:r>
      <w:r w:rsidR="003F7242">
        <w:t xml:space="preserve">det sportslige </w:t>
      </w:r>
      <w:r>
        <w:t>niveau i TREC, samt forberede og uddanne ryttere med tanke på international deltagelse.</w:t>
      </w:r>
    </w:p>
    <w:p w14:paraId="540EB676" w14:textId="77777777" w:rsidR="00FA4B75" w:rsidRDefault="00FA4B75" w:rsidP="00FA4B75">
      <w:pPr>
        <w:pStyle w:val="NoSpacing"/>
        <w:ind w:left="2268" w:hanging="2268"/>
      </w:pPr>
    </w:p>
    <w:p w14:paraId="537A9DDD" w14:textId="77777777" w:rsidR="00014BF5" w:rsidRDefault="00014BF5" w:rsidP="00FA4B75">
      <w:pPr>
        <w:pStyle w:val="NoSpacing"/>
        <w:ind w:left="2268" w:hanging="2268"/>
      </w:pPr>
    </w:p>
    <w:p w14:paraId="22070EB0" w14:textId="77777777" w:rsidR="00FA4B75" w:rsidRDefault="00FA4B75" w:rsidP="00FA4B75">
      <w:pPr>
        <w:pStyle w:val="NoSpacing"/>
        <w:ind w:left="2268" w:hanging="2268"/>
      </w:pPr>
      <w:r w:rsidRPr="003B2863">
        <w:rPr>
          <w:b/>
        </w:rPr>
        <w:t>Kvalifikationsperioder</w:t>
      </w:r>
      <w:r w:rsidRPr="003B2863">
        <w:rPr>
          <w:b/>
        </w:rPr>
        <w:tab/>
      </w:r>
      <w:r w:rsidRPr="003B2863">
        <w:t>Kvalif</w:t>
      </w:r>
      <w:r>
        <w:t xml:space="preserve">ikationsperioden er indeværende år </w:t>
      </w:r>
      <w:r w:rsidRPr="003B2863">
        <w:t>+ de to foregående</w:t>
      </w:r>
      <w:r>
        <w:t xml:space="preserve"> år.</w:t>
      </w:r>
    </w:p>
    <w:p w14:paraId="03CB42E5" w14:textId="77777777" w:rsidR="00014BF5" w:rsidRDefault="00014BF5" w:rsidP="00FA4B75">
      <w:pPr>
        <w:pStyle w:val="NoSpacing"/>
        <w:ind w:left="2268" w:hanging="2268"/>
      </w:pPr>
    </w:p>
    <w:p w14:paraId="27D1ED36" w14:textId="77777777" w:rsidR="00FA4B75" w:rsidRDefault="00FA4B75" w:rsidP="00FA4B75">
      <w:pPr>
        <w:pStyle w:val="NoSpacing"/>
        <w:ind w:left="2268" w:hanging="2268"/>
      </w:pPr>
      <w:r>
        <w:tab/>
      </w:r>
    </w:p>
    <w:p w14:paraId="3B85F5ED" w14:textId="77777777" w:rsidR="00FA4B75" w:rsidRPr="003B2863" w:rsidRDefault="00FA4B75" w:rsidP="00FA4B75">
      <w:pPr>
        <w:pStyle w:val="NoSpacing"/>
        <w:ind w:left="2268" w:hanging="2268"/>
        <w:rPr>
          <w:b/>
        </w:rPr>
      </w:pPr>
      <w:r w:rsidRPr="003B2863">
        <w:rPr>
          <w:b/>
        </w:rPr>
        <w:t>Deltagelse i inter-</w:t>
      </w:r>
    </w:p>
    <w:p w14:paraId="1D385F9D" w14:textId="77777777" w:rsidR="00FA4B75" w:rsidRDefault="00FA4B75" w:rsidP="00FA4B75">
      <w:pPr>
        <w:pStyle w:val="NoSpacing"/>
        <w:ind w:left="2268" w:hanging="2268"/>
      </w:pPr>
      <w:r w:rsidRPr="003B2863">
        <w:rPr>
          <w:b/>
        </w:rPr>
        <w:t>nationale stævner</w:t>
      </w:r>
      <w:r>
        <w:rPr>
          <w:b/>
        </w:rPr>
        <w:tab/>
      </w:r>
      <w:r w:rsidRPr="003B2863">
        <w:t>Der tilmeldes til internationale stævner</w:t>
      </w:r>
      <w:r w:rsidR="003F7242">
        <w:t xml:space="preserve"> (svarende til tidligere Euro Cup klasser) </w:t>
      </w:r>
      <w:r w:rsidRPr="003B2863">
        <w:t xml:space="preserve"> efter det pågældende lands nationale kvalifikationskrav</w:t>
      </w:r>
      <w:r>
        <w:t xml:space="preserve"> efter </w:t>
      </w:r>
      <w:r w:rsidRPr="003B2863">
        <w:t xml:space="preserve">FITE’s </w:t>
      </w:r>
      <w:r>
        <w:t>gældende kvalifikationskrav</w:t>
      </w:r>
      <w:r w:rsidRPr="003B2863">
        <w:t xml:space="preserve">. Tilmelding sker direkte til stævnearrangøren med kopi af tilmeldingen til </w:t>
      </w:r>
      <w:hyperlink r:id="rId8" w:history="1">
        <w:r w:rsidRPr="00E477A0">
          <w:rPr>
            <w:rStyle w:val="Hyperlink"/>
          </w:rPr>
          <w:t>bestyrelse@trec.dk</w:t>
        </w:r>
      </w:hyperlink>
      <w:r>
        <w:t>.</w:t>
      </w:r>
      <w:r w:rsidRPr="003B2863">
        <w:t xml:space="preserve"> </w:t>
      </w:r>
    </w:p>
    <w:p w14:paraId="16B8CDB3" w14:textId="77777777" w:rsidR="00FA4B75" w:rsidRPr="003B2863" w:rsidRDefault="00FA4B75" w:rsidP="00FA4B75">
      <w:pPr>
        <w:pStyle w:val="NoSpacing"/>
        <w:ind w:left="2268" w:hanging="2268"/>
      </w:pPr>
    </w:p>
    <w:p w14:paraId="4AB80054" w14:textId="77777777" w:rsidR="00FA4B75" w:rsidRPr="00FA4B75" w:rsidRDefault="00FA4B75" w:rsidP="00FA4B75">
      <w:pPr>
        <w:pStyle w:val="NoSpacing"/>
        <w:ind w:left="2268" w:hanging="2268"/>
      </w:pPr>
      <w:r>
        <w:tab/>
      </w:r>
      <w:r w:rsidRPr="00FA4B75">
        <w:t xml:space="preserve">Bestyrelsen kan opsætte yderligere krav til deltagelse og/eller udelukke deltagelse pga. særlige forhold. </w:t>
      </w:r>
    </w:p>
    <w:p w14:paraId="0FF1681E" w14:textId="77777777" w:rsidR="00FA4B75" w:rsidRDefault="00FA4B75" w:rsidP="00FA4B75">
      <w:pPr>
        <w:pStyle w:val="NoSpacing"/>
        <w:ind w:left="2268" w:hanging="2268"/>
      </w:pPr>
      <w:r>
        <w:tab/>
      </w:r>
    </w:p>
    <w:p w14:paraId="3B33F2F5" w14:textId="77777777" w:rsidR="00FA4B75" w:rsidRPr="00FA4B75" w:rsidRDefault="00FA4B75" w:rsidP="00FA4B75">
      <w:pPr>
        <w:pStyle w:val="NoSpacing"/>
        <w:ind w:left="2268" w:hanging="2268"/>
        <w:rPr>
          <w:i/>
        </w:rPr>
      </w:pPr>
      <w:r>
        <w:tab/>
      </w:r>
      <w:r w:rsidRPr="00FA4B75">
        <w:rPr>
          <w:i/>
        </w:rPr>
        <w:t xml:space="preserve">Tilmelding til VM og EM kan alene ske gennem TREC Danmark, der </w:t>
      </w:r>
      <w:r>
        <w:rPr>
          <w:i/>
        </w:rPr>
        <w:t>jf. FITEs regler</w:t>
      </w:r>
      <w:r w:rsidRPr="00FA4B75">
        <w:rPr>
          <w:i/>
        </w:rPr>
        <w:t xml:space="preserve"> repræsenteres ved en</w:t>
      </w:r>
      <w:r>
        <w:rPr>
          <w:i/>
        </w:rPr>
        <w:t xml:space="preserve"> dansk </w:t>
      </w:r>
      <w:r w:rsidRPr="00FA4B75">
        <w:rPr>
          <w:i/>
        </w:rPr>
        <w:t>chef d’equipe.</w:t>
      </w:r>
    </w:p>
    <w:p w14:paraId="52FC7359" w14:textId="77777777" w:rsidR="00FA4B75" w:rsidRDefault="00FA4B75" w:rsidP="00FA4B75">
      <w:pPr>
        <w:pStyle w:val="NoSpacing"/>
        <w:ind w:left="2268" w:hanging="2268"/>
      </w:pPr>
    </w:p>
    <w:p w14:paraId="39E20F13" w14:textId="77777777" w:rsidR="00014BF5" w:rsidRDefault="00014BF5" w:rsidP="00FA4B75">
      <w:pPr>
        <w:pStyle w:val="NoSpacing"/>
        <w:ind w:left="2268" w:hanging="2268"/>
      </w:pPr>
    </w:p>
    <w:p w14:paraId="30691B67" w14:textId="77777777" w:rsidR="00FA4B75" w:rsidRPr="007F5693" w:rsidRDefault="00FA4B75" w:rsidP="00FA4B75">
      <w:pPr>
        <w:pStyle w:val="NoSpacing"/>
        <w:ind w:left="2268" w:hanging="2268"/>
      </w:pPr>
      <w:r w:rsidRPr="00DD1D63">
        <w:rPr>
          <w:b/>
        </w:rPr>
        <w:t>Sportslige mål</w:t>
      </w:r>
      <w:r w:rsidRPr="007F5693">
        <w:tab/>
      </w:r>
      <w:r>
        <w:t xml:space="preserve">TREC Danmark fokuserer på at udvikle sportsgrenen og </w:t>
      </w:r>
      <w:r w:rsidRPr="007F5693">
        <w:t>på danske</w:t>
      </w:r>
      <w:r>
        <w:t xml:space="preserve"> rytteres deltagelse ved internationale mesterskaber.</w:t>
      </w:r>
    </w:p>
    <w:p w14:paraId="4B4D0D8B" w14:textId="77777777" w:rsidR="00FA4B75" w:rsidRDefault="00FA4B75" w:rsidP="00FA4B75">
      <w:pPr>
        <w:pStyle w:val="NoSpacing"/>
        <w:ind w:left="2268" w:hanging="2268"/>
      </w:pPr>
      <w:r>
        <w:tab/>
      </w:r>
      <w:r w:rsidRPr="007F5693">
        <w:t xml:space="preserve">Det </w:t>
      </w:r>
      <w:r>
        <w:t xml:space="preserve">er </w:t>
      </w:r>
      <w:r w:rsidRPr="007F5693">
        <w:t>muligt at kvalificere</w:t>
      </w:r>
      <w:r>
        <w:t xml:space="preserve"> sig</w:t>
      </w:r>
      <w:r w:rsidRPr="007F5693">
        <w:t xml:space="preserve"> ved stævner, hvor der rides på lejet/lånt hest</w:t>
      </w:r>
      <w:r>
        <w:t>. D</w:t>
      </w:r>
      <w:r w:rsidRPr="007F5693">
        <w:t xml:space="preserve">og skal rytteren minimum have redet to stævner på egen hest i kvalifikationsperioden. </w:t>
      </w:r>
    </w:p>
    <w:p w14:paraId="660D6024" w14:textId="77777777" w:rsidR="00014BF5" w:rsidRDefault="00014BF5" w:rsidP="00FA4B75">
      <w:pPr>
        <w:pStyle w:val="NoSpacing"/>
        <w:ind w:left="2268" w:hanging="2268"/>
      </w:pPr>
    </w:p>
    <w:p w14:paraId="2A2E2C55" w14:textId="77777777" w:rsidR="00FA4B75" w:rsidRDefault="00FA4B75" w:rsidP="00FA4B75">
      <w:pPr>
        <w:pStyle w:val="NoSpacing"/>
        <w:ind w:left="2268" w:hanging="2268"/>
      </w:pPr>
      <w:r>
        <w:tab/>
      </w:r>
    </w:p>
    <w:p w14:paraId="486777E5" w14:textId="77777777" w:rsidR="00FA4B75" w:rsidRDefault="00FA4B75" w:rsidP="00FA4B75">
      <w:pPr>
        <w:pStyle w:val="NoSpacing"/>
        <w:ind w:left="2268" w:hanging="2268"/>
      </w:pPr>
      <w:r w:rsidRPr="006E6A93">
        <w:rPr>
          <w:b/>
          <w:bCs/>
        </w:rPr>
        <w:t>Kvalifikation</w:t>
      </w:r>
      <w:r>
        <w:tab/>
        <w:t xml:space="preserve">Kvalifikationer fra deltagelse i stævner: </w:t>
      </w:r>
    </w:p>
    <w:p w14:paraId="446F5CD0" w14:textId="77777777" w:rsidR="00FA4B75" w:rsidRDefault="00FA4B75" w:rsidP="00FA4B75">
      <w:pPr>
        <w:pStyle w:val="NoSpacing"/>
        <w:ind w:left="2268" w:hanging="2268"/>
      </w:pPr>
      <w:r>
        <w:tab/>
        <w:t>Stævneresultater skal godkendes af TREC Danmarks bestyrelse som værende kvalificerende mht. resultater og placering.</w:t>
      </w:r>
    </w:p>
    <w:p w14:paraId="7F48827B" w14:textId="77777777" w:rsidR="00FA4B75" w:rsidRDefault="00FA4B75" w:rsidP="00FA4B75">
      <w:pPr>
        <w:pStyle w:val="NoSpacing"/>
        <w:ind w:left="2268" w:hanging="2268"/>
      </w:pPr>
      <w:r>
        <w:lastRenderedPageBreak/>
        <w:tab/>
      </w:r>
    </w:p>
    <w:p w14:paraId="1BC2B09B" w14:textId="77777777" w:rsidR="00FA4B75" w:rsidRDefault="00FA4B75" w:rsidP="00FA4B75">
      <w:pPr>
        <w:pStyle w:val="NoSpacing"/>
        <w:ind w:left="2268" w:hanging="2268"/>
      </w:pPr>
      <w:r>
        <w:tab/>
        <w:t xml:space="preserve">Der gives </w:t>
      </w:r>
      <w:r w:rsidRPr="00FA4B75">
        <w:rPr>
          <w:b/>
        </w:rPr>
        <w:t>kvalifikationspoint</w:t>
      </w:r>
      <w:r>
        <w:t xml:space="preserve"> jf. nedenstående skema:</w:t>
      </w:r>
    </w:p>
    <w:p w14:paraId="16FDF0F8" w14:textId="77777777" w:rsidR="00FA4B75" w:rsidRDefault="00FA4B75" w:rsidP="00FA4B75">
      <w:pPr>
        <w:pStyle w:val="NoSpacing"/>
      </w:pPr>
    </w:p>
    <w:tbl>
      <w:tblPr>
        <w:tblStyle w:val="TableGrid"/>
        <w:tblW w:w="0" w:type="auto"/>
        <w:tblLook w:val="04A0" w:firstRow="1" w:lastRow="0" w:firstColumn="1" w:lastColumn="0" w:noHBand="0" w:noVBand="1"/>
      </w:tblPr>
      <w:tblGrid>
        <w:gridCol w:w="1724"/>
        <w:gridCol w:w="1401"/>
        <w:gridCol w:w="1608"/>
        <w:gridCol w:w="1592"/>
        <w:gridCol w:w="1508"/>
        <w:gridCol w:w="1795"/>
      </w:tblGrid>
      <w:tr w:rsidR="00FA4B75" w14:paraId="1EF27187" w14:textId="77777777" w:rsidTr="008A7949">
        <w:tc>
          <w:tcPr>
            <w:tcW w:w="1774" w:type="dxa"/>
          </w:tcPr>
          <w:p w14:paraId="27121896" w14:textId="77777777" w:rsidR="00FA4B75" w:rsidRDefault="00FA4B75" w:rsidP="008A7949"/>
          <w:p w14:paraId="7C45F8B2" w14:textId="77777777" w:rsidR="00FA4B75" w:rsidRDefault="00FA4B75" w:rsidP="008A7949">
            <w:r>
              <w:t xml:space="preserve">År </w:t>
            </w:r>
          </w:p>
        </w:tc>
        <w:tc>
          <w:tcPr>
            <w:tcW w:w="1116" w:type="dxa"/>
          </w:tcPr>
          <w:p w14:paraId="2362CC70" w14:textId="77777777" w:rsidR="00FA4B75" w:rsidRDefault="003F7242" w:rsidP="008A7949">
            <w:r>
              <w:t>Kvalifikations</w:t>
            </w:r>
            <w:r w:rsidR="00FA4B75">
              <w:t xml:space="preserve"> point</w:t>
            </w:r>
          </w:p>
        </w:tc>
        <w:tc>
          <w:tcPr>
            <w:tcW w:w="1641" w:type="dxa"/>
          </w:tcPr>
          <w:p w14:paraId="20499D43" w14:textId="77777777" w:rsidR="00FA4B75" w:rsidRDefault="00FA4B75" w:rsidP="008A7949">
            <w:r>
              <w:t>Koefficient 1,0 Skandinavien/ Holland</w:t>
            </w:r>
          </w:p>
        </w:tc>
        <w:tc>
          <w:tcPr>
            <w:tcW w:w="1701" w:type="dxa"/>
          </w:tcPr>
          <w:p w14:paraId="4322CC23" w14:textId="77777777" w:rsidR="00FA4B75" w:rsidRDefault="00FA4B75" w:rsidP="008A7949">
            <w:r>
              <w:t>Koefficient 1,3 Tyskland/ Belgien</w:t>
            </w:r>
          </w:p>
        </w:tc>
        <w:tc>
          <w:tcPr>
            <w:tcW w:w="1594" w:type="dxa"/>
          </w:tcPr>
          <w:p w14:paraId="28FE286B" w14:textId="77777777" w:rsidR="00FA4B75" w:rsidRDefault="00FA4B75" w:rsidP="008A7949">
            <w:r>
              <w:t>Koefficient 1,4</w:t>
            </w:r>
          </w:p>
          <w:p w14:paraId="39615236" w14:textId="77777777" w:rsidR="00FA4B75" w:rsidRDefault="00FA4B75" w:rsidP="008A7949">
            <w:r>
              <w:t>Østrig/ Schweiz</w:t>
            </w:r>
          </w:p>
        </w:tc>
        <w:tc>
          <w:tcPr>
            <w:tcW w:w="1802" w:type="dxa"/>
          </w:tcPr>
          <w:p w14:paraId="659BA414" w14:textId="77777777" w:rsidR="00FA4B75" w:rsidRDefault="00FA4B75" w:rsidP="008A7949">
            <w:r>
              <w:t>Koefficient 1,5 Frankrig/Italien/ Spanien/Portugal</w:t>
            </w:r>
          </w:p>
        </w:tc>
      </w:tr>
      <w:tr w:rsidR="00FA4B75" w14:paraId="63E7A049" w14:textId="77777777" w:rsidTr="008A7949">
        <w:tc>
          <w:tcPr>
            <w:tcW w:w="1774" w:type="dxa"/>
          </w:tcPr>
          <w:p w14:paraId="55FA0ED9" w14:textId="77777777" w:rsidR="00FA4B75" w:rsidRDefault="00FA4B75" w:rsidP="008A7949">
            <w:r>
              <w:t>Mesterskabsår</w:t>
            </w:r>
          </w:p>
        </w:tc>
        <w:tc>
          <w:tcPr>
            <w:tcW w:w="1116" w:type="dxa"/>
          </w:tcPr>
          <w:p w14:paraId="75188D9F" w14:textId="77777777" w:rsidR="00FA4B75" w:rsidRDefault="00FA4B75" w:rsidP="008A7949">
            <w:pPr>
              <w:jc w:val="right"/>
            </w:pPr>
            <w:r>
              <w:t>10,0</w:t>
            </w:r>
          </w:p>
        </w:tc>
        <w:tc>
          <w:tcPr>
            <w:tcW w:w="1641" w:type="dxa"/>
          </w:tcPr>
          <w:p w14:paraId="49FDF117" w14:textId="77777777" w:rsidR="00FA4B75" w:rsidRDefault="00FA4B75" w:rsidP="008A7949">
            <w:pPr>
              <w:jc w:val="right"/>
            </w:pPr>
            <w:r>
              <w:t>10,0</w:t>
            </w:r>
          </w:p>
        </w:tc>
        <w:tc>
          <w:tcPr>
            <w:tcW w:w="1701" w:type="dxa"/>
          </w:tcPr>
          <w:p w14:paraId="2E16E196" w14:textId="77777777" w:rsidR="00FA4B75" w:rsidRDefault="00FA4B75" w:rsidP="008A7949">
            <w:pPr>
              <w:jc w:val="right"/>
            </w:pPr>
            <w:r>
              <w:t>13,0</w:t>
            </w:r>
          </w:p>
        </w:tc>
        <w:tc>
          <w:tcPr>
            <w:tcW w:w="1594" w:type="dxa"/>
          </w:tcPr>
          <w:p w14:paraId="3ED9165A" w14:textId="77777777" w:rsidR="00FA4B75" w:rsidRDefault="00FA4B75" w:rsidP="008A7949">
            <w:pPr>
              <w:jc w:val="right"/>
            </w:pPr>
            <w:r>
              <w:t>14,0</w:t>
            </w:r>
          </w:p>
        </w:tc>
        <w:tc>
          <w:tcPr>
            <w:tcW w:w="1802" w:type="dxa"/>
          </w:tcPr>
          <w:p w14:paraId="293B52E3" w14:textId="77777777" w:rsidR="00FA4B75" w:rsidRDefault="00FA4B75" w:rsidP="008A7949">
            <w:pPr>
              <w:jc w:val="right"/>
            </w:pPr>
            <w:r>
              <w:t>15,0</w:t>
            </w:r>
          </w:p>
        </w:tc>
      </w:tr>
      <w:tr w:rsidR="00FA4B75" w14:paraId="4E53C708" w14:textId="77777777" w:rsidTr="008A7949">
        <w:tc>
          <w:tcPr>
            <w:tcW w:w="1774" w:type="dxa"/>
          </w:tcPr>
          <w:p w14:paraId="47FCF7D8" w14:textId="77777777" w:rsidR="00FA4B75" w:rsidRDefault="00FA4B75" w:rsidP="008A7949">
            <w:r>
              <w:t>Foregående år</w:t>
            </w:r>
          </w:p>
        </w:tc>
        <w:tc>
          <w:tcPr>
            <w:tcW w:w="1116" w:type="dxa"/>
          </w:tcPr>
          <w:p w14:paraId="4EBD05D1" w14:textId="77777777" w:rsidR="00FA4B75" w:rsidRDefault="00FA4B75" w:rsidP="008A7949">
            <w:pPr>
              <w:jc w:val="right"/>
            </w:pPr>
            <w:r>
              <w:t>7,0</w:t>
            </w:r>
          </w:p>
        </w:tc>
        <w:tc>
          <w:tcPr>
            <w:tcW w:w="1641" w:type="dxa"/>
          </w:tcPr>
          <w:p w14:paraId="4494EF6D" w14:textId="77777777" w:rsidR="00FA4B75" w:rsidRDefault="00FA4B75" w:rsidP="008A7949">
            <w:pPr>
              <w:jc w:val="right"/>
            </w:pPr>
            <w:r>
              <w:t>7,0</w:t>
            </w:r>
          </w:p>
        </w:tc>
        <w:tc>
          <w:tcPr>
            <w:tcW w:w="1701" w:type="dxa"/>
          </w:tcPr>
          <w:p w14:paraId="20B213E6" w14:textId="77777777" w:rsidR="00FA4B75" w:rsidRDefault="00FA4B75" w:rsidP="008A7949">
            <w:pPr>
              <w:jc w:val="right"/>
            </w:pPr>
            <w:r>
              <w:t>9,1</w:t>
            </w:r>
          </w:p>
        </w:tc>
        <w:tc>
          <w:tcPr>
            <w:tcW w:w="1594" w:type="dxa"/>
          </w:tcPr>
          <w:p w14:paraId="6AB21639" w14:textId="77777777" w:rsidR="00FA4B75" w:rsidRDefault="00FA4B75" w:rsidP="008A7949">
            <w:pPr>
              <w:jc w:val="right"/>
            </w:pPr>
            <w:r>
              <w:t>9,8</w:t>
            </w:r>
          </w:p>
        </w:tc>
        <w:tc>
          <w:tcPr>
            <w:tcW w:w="1802" w:type="dxa"/>
          </w:tcPr>
          <w:p w14:paraId="4D0B8756" w14:textId="77777777" w:rsidR="00FA4B75" w:rsidRDefault="00FA4B75" w:rsidP="008A7949">
            <w:pPr>
              <w:jc w:val="right"/>
            </w:pPr>
            <w:r>
              <w:t>10,5</w:t>
            </w:r>
          </w:p>
        </w:tc>
      </w:tr>
      <w:tr w:rsidR="00FA4B75" w14:paraId="74D65471" w14:textId="77777777" w:rsidTr="008A7949">
        <w:tc>
          <w:tcPr>
            <w:tcW w:w="1774" w:type="dxa"/>
          </w:tcPr>
          <w:p w14:paraId="7F07611C" w14:textId="77777777" w:rsidR="00FA4B75" w:rsidRDefault="00FA4B75" w:rsidP="008A7949">
            <w:r>
              <w:t>2. foregående år</w:t>
            </w:r>
          </w:p>
        </w:tc>
        <w:tc>
          <w:tcPr>
            <w:tcW w:w="1116" w:type="dxa"/>
          </w:tcPr>
          <w:p w14:paraId="59255BE4" w14:textId="77777777" w:rsidR="00FA4B75" w:rsidRDefault="00FA4B75" w:rsidP="008A7949">
            <w:pPr>
              <w:jc w:val="right"/>
            </w:pPr>
            <w:r>
              <w:t>4,0</w:t>
            </w:r>
          </w:p>
        </w:tc>
        <w:tc>
          <w:tcPr>
            <w:tcW w:w="1641" w:type="dxa"/>
          </w:tcPr>
          <w:p w14:paraId="09432940" w14:textId="77777777" w:rsidR="00FA4B75" w:rsidRDefault="00FA4B75" w:rsidP="008A7949">
            <w:pPr>
              <w:jc w:val="right"/>
            </w:pPr>
            <w:r>
              <w:t>4,0</w:t>
            </w:r>
          </w:p>
        </w:tc>
        <w:tc>
          <w:tcPr>
            <w:tcW w:w="1701" w:type="dxa"/>
          </w:tcPr>
          <w:p w14:paraId="7092338B" w14:textId="77777777" w:rsidR="00FA4B75" w:rsidRDefault="00FA4B75" w:rsidP="008A7949">
            <w:pPr>
              <w:jc w:val="right"/>
            </w:pPr>
            <w:r>
              <w:t>5,2</w:t>
            </w:r>
          </w:p>
        </w:tc>
        <w:tc>
          <w:tcPr>
            <w:tcW w:w="1594" w:type="dxa"/>
          </w:tcPr>
          <w:p w14:paraId="33D05DA6" w14:textId="77777777" w:rsidR="00FA4B75" w:rsidRDefault="00FA4B75" w:rsidP="008A7949">
            <w:pPr>
              <w:jc w:val="right"/>
            </w:pPr>
            <w:r>
              <w:t>5,6</w:t>
            </w:r>
          </w:p>
        </w:tc>
        <w:tc>
          <w:tcPr>
            <w:tcW w:w="1802" w:type="dxa"/>
          </w:tcPr>
          <w:p w14:paraId="5BA57069" w14:textId="77777777" w:rsidR="00FA4B75" w:rsidRDefault="00FA4B75" w:rsidP="008A7949">
            <w:pPr>
              <w:jc w:val="right"/>
            </w:pPr>
            <w:r>
              <w:t>6,0</w:t>
            </w:r>
          </w:p>
        </w:tc>
      </w:tr>
    </w:tbl>
    <w:p w14:paraId="5D726D42" w14:textId="77777777" w:rsidR="00014BF5" w:rsidRDefault="00014BF5" w:rsidP="00FA4B75">
      <w:pPr>
        <w:pStyle w:val="NoSpacing"/>
        <w:ind w:left="2268" w:hanging="2268"/>
      </w:pPr>
    </w:p>
    <w:p w14:paraId="09D660B6" w14:textId="77777777" w:rsidR="00FA4B75" w:rsidRDefault="00FA4B75" w:rsidP="00FA4B75">
      <w:pPr>
        <w:pStyle w:val="NoSpacing"/>
        <w:ind w:left="2268" w:hanging="2268"/>
      </w:pPr>
      <w:r>
        <w:tab/>
        <w:t xml:space="preserve">Udover kvalifikationspoint beregnes et </w:t>
      </w:r>
      <w:r w:rsidRPr="00FA4B75">
        <w:rPr>
          <w:b/>
        </w:rPr>
        <w:t>placeringsinde</w:t>
      </w:r>
      <w:r>
        <w:rPr>
          <w:b/>
        </w:rPr>
        <w:t>ks</w:t>
      </w:r>
      <w:r>
        <w:t xml:space="preserve">. </w:t>
      </w:r>
    </w:p>
    <w:p w14:paraId="0048D088" w14:textId="77777777" w:rsidR="00FA4B75" w:rsidRDefault="00FA4B75" w:rsidP="00FA4B75">
      <w:pPr>
        <w:pStyle w:val="NoSpacing"/>
        <w:ind w:left="2268" w:hanging="2268"/>
      </w:pPr>
      <w:r>
        <w:tab/>
        <w:t xml:space="preserve">For hvert stævne tages placeringen og deles med antallet af gennemførte ekvipager i klassen, herefter ganges med hundrede og rundes af til nærmeste hele tal. </w:t>
      </w:r>
    </w:p>
    <w:p w14:paraId="04749D8B" w14:textId="77777777" w:rsidR="00FA4B75" w:rsidRDefault="00FA4B75" w:rsidP="00FA4B75">
      <w:pPr>
        <w:pStyle w:val="NoSpacing"/>
        <w:ind w:left="2268" w:hanging="2268"/>
      </w:pPr>
      <w:r>
        <w:tab/>
        <w:t xml:space="preserve">Ved deltagelse i flere stævner tages gennemsnittet af de enkelte placeringsindeks. </w:t>
      </w:r>
    </w:p>
    <w:p w14:paraId="08CC9074" w14:textId="77777777" w:rsidR="00FA4B75" w:rsidRDefault="00FA4B75" w:rsidP="00FA4B75">
      <w:pPr>
        <w:pStyle w:val="NoSpacing"/>
        <w:ind w:left="2268" w:hanging="2268"/>
      </w:pPr>
      <w:r>
        <w:tab/>
        <w:t>Placeringsindekset bruges som en af faktorerne i forbindelse med udtagelse af ryttere. Jo lavere indeks, jo bedre.</w:t>
      </w:r>
    </w:p>
    <w:p w14:paraId="2ACE6168" w14:textId="77777777" w:rsidR="00FA4B75" w:rsidRPr="00FA4B75" w:rsidRDefault="00FA4B75" w:rsidP="00FA4B75">
      <w:pPr>
        <w:pStyle w:val="NoSpacing"/>
        <w:ind w:left="2268" w:hanging="2268"/>
        <w:rPr>
          <w:i/>
        </w:rPr>
      </w:pPr>
    </w:p>
    <w:p w14:paraId="4A7BAD55" w14:textId="77777777" w:rsidR="00FA4B75" w:rsidRDefault="00014BF5" w:rsidP="00014BF5">
      <w:pPr>
        <w:pStyle w:val="NoSpacing"/>
        <w:ind w:left="2268" w:hanging="2268"/>
      </w:pPr>
      <w:r w:rsidRPr="00FA4B75">
        <w:rPr>
          <w:i/>
        </w:rPr>
        <w:t>Eksempel</w:t>
      </w:r>
      <w:r>
        <w:t xml:space="preserve"> </w:t>
      </w:r>
      <w:r>
        <w:tab/>
      </w:r>
      <w:r w:rsidR="00FA4B75">
        <w:t>Aksel har deltaget i to stævner, et i Holland og et i Spanien i indeværende år, der er et mesterskabsår.</w:t>
      </w:r>
    </w:p>
    <w:p w14:paraId="05B57035" w14:textId="77777777" w:rsidR="00FA4B75" w:rsidRDefault="00FA4B75" w:rsidP="00FA4B75">
      <w:pPr>
        <w:pStyle w:val="NoSpacing"/>
        <w:ind w:left="2268"/>
      </w:pPr>
    </w:p>
    <w:p w14:paraId="1C9E66A4" w14:textId="77777777" w:rsidR="00FA4B75" w:rsidRDefault="00FA4B75" w:rsidP="00FA4B75">
      <w:pPr>
        <w:pStyle w:val="NoSpacing"/>
        <w:ind w:left="2268"/>
      </w:pPr>
      <w:r>
        <w:t>Til det Hollandske stævne opnåede han en 6. plads ud af 11 deltagere.</w:t>
      </w:r>
    </w:p>
    <w:p w14:paraId="03D45CB3" w14:textId="77777777" w:rsidR="00FA4B75" w:rsidRDefault="00FA4B75" w:rsidP="00FA4B75">
      <w:pPr>
        <w:pStyle w:val="NoSpacing"/>
        <w:ind w:left="2268"/>
      </w:pPr>
      <w:r>
        <w:t>Til det Spanske stævne opnåede han en 13. plads ud af 48 deltagere.</w:t>
      </w:r>
    </w:p>
    <w:p w14:paraId="04F4FE92" w14:textId="77777777" w:rsidR="00FA4B75" w:rsidRDefault="00FA4B75" w:rsidP="00FA4B75">
      <w:pPr>
        <w:pStyle w:val="NoSpacing"/>
        <w:ind w:left="2268"/>
      </w:pPr>
    </w:p>
    <w:p w14:paraId="45D6DBB7" w14:textId="77777777" w:rsidR="00FA4B75" w:rsidRDefault="00FA4B75" w:rsidP="00FA4B75">
      <w:pPr>
        <w:pStyle w:val="NoSpacing"/>
        <w:ind w:left="2268"/>
      </w:pPr>
      <w:r>
        <w:t xml:space="preserve">Beregning af </w:t>
      </w:r>
      <w:r w:rsidRPr="00014BF5">
        <w:rPr>
          <w:b/>
        </w:rPr>
        <w:t>kvalifikationspoint</w:t>
      </w:r>
      <w:r>
        <w:t>:</w:t>
      </w:r>
    </w:p>
    <w:p w14:paraId="5EB7C98E" w14:textId="77777777" w:rsidR="00FA4B75" w:rsidRDefault="00FA4B75" w:rsidP="00FA4B75">
      <w:pPr>
        <w:pStyle w:val="NoSpacing"/>
        <w:ind w:left="2268"/>
      </w:pPr>
      <w:r>
        <w:t>Holland: 10 point</w:t>
      </w:r>
    </w:p>
    <w:p w14:paraId="4BBC30C4" w14:textId="77777777" w:rsidR="00FA4B75" w:rsidRDefault="00014BF5" w:rsidP="00FA4B75">
      <w:pPr>
        <w:pStyle w:val="NoSpacing"/>
        <w:ind w:left="2268"/>
      </w:pPr>
      <w:r>
        <w:t>Spanien:</w:t>
      </w:r>
      <w:r w:rsidR="00FA4B75">
        <w:t xml:space="preserve"> 15 point</w:t>
      </w:r>
    </w:p>
    <w:p w14:paraId="0DA7A36D" w14:textId="77777777" w:rsidR="00FA4B75" w:rsidRDefault="00FA4B75" w:rsidP="00FA4B75">
      <w:pPr>
        <w:pStyle w:val="NoSpacing"/>
        <w:ind w:left="2268"/>
      </w:pPr>
      <w:r>
        <w:t>I alt: 25 point</w:t>
      </w:r>
    </w:p>
    <w:p w14:paraId="7335465D" w14:textId="77777777" w:rsidR="00FA4B75" w:rsidRDefault="00FA4B75" w:rsidP="00FA4B75">
      <w:pPr>
        <w:pStyle w:val="NoSpacing"/>
        <w:ind w:left="2268"/>
      </w:pPr>
    </w:p>
    <w:p w14:paraId="5DD95FB6" w14:textId="77777777" w:rsidR="00FA4B75" w:rsidRDefault="00FA4B75" w:rsidP="00FA4B75">
      <w:pPr>
        <w:pStyle w:val="NoSpacing"/>
        <w:ind w:left="2268"/>
      </w:pPr>
      <w:r>
        <w:t xml:space="preserve">Beregning af </w:t>
      </w:r>
      <w:r w:rsidRPr="00014BF5">
        <w:rPr>
          <w:b/>
        </w:rPr>
        <w:t>placeringsinde</w:t>
      </w:r>
      <w:r w:rsidR="00014BF5">
        <w:rPr>
          <w:b/>
        </w:rPr>
        <w:t>ks</w:t>
      </w:r>
      <w:r>
        <w:t>:</w:t>
      </w:r>
    </w:p>
    <w:p w14:paraId="7739A1C1" w14:textId="77777777" w:rsidR="00FA4B75" w:rsidRDefault="00FA4B75" w:rsidP="00FA4B75">
      <w:pPr>
        <w:pStyle w:val="NoSpacing"/>
        <w:ind w:left="2268"/>
      </w:pPr>
      <w:r>
        <w:t xml:space="preserve">Holland: (6/11) * 100 = 54,54 </w:t>
      </w:r>
      <w:r w:rsidR="00014BF5">
        <w:t>≈</w:t>
      </w:r>
      <w:r>
        <w:t xml:space="preserve"> 55</w:t>
      </w:r>
    </w:p>
    <w:p w14:paraId="78FF64BE" w14:textId="77777777" w:rsidR="00FA4B75" w:rsidRDefault="00FA4B75" w:rsidP="00FA4B75">
      <w:pPr>
        <w:pStyle w:val="NoSpacing"/>
        <w:ind w:left="2268"/>
      </w:pPr>
      <w:r>
        <w:t xml:space="preserve">Spanien: (13/48) * 100 = 27,08 </w:t>
      </w:r>
      <w:r w:rsidR="00014BF5">
        <w:t>≈</w:t>
      </w:r>
      <w:r>
        <w:t xml:space="preserve"> 27</w:t>
      </w:r>
    </w:p>
    <w:p w14:paraId="78C8C222" w14:textId="77777777" w:rsidR="00FA4B75" w:rsidRDefault="00014BF5" w:rsidP="00FA4B75">
      <w:pPr>
        <w:pStyle w:val="NoSpacing"/>
        <w:ind w:left="2268"/>
      </w:pPr>
      <w:r>
        <w:t>Placeringsindeks</w:t>
      </w:r>
      <w:r w:rsidR="00FA4B75">
        <w:t>: (55+27) / 2 = 41</w:t>
      </w:r>
      <w:r w:rsidR="00FA4B75">
        <w:tab/>
      </w:r>
    </w:p>
    <w:p w14:paraId="48CC8EF5" w14:textId="77777777" w:rsidR="00FA4B75" w:rsidRDefault="00FA4B75" w:rsidP="00FA4B75">
      <w:pPr>
        <w:pStyle w:val="NoSpacing"/>
        <w:ind w:left="2268" w:hanging="2268"/>
      </w:pPr>
    </w:p>
    <w:p w14:paraId="6A95298A" w14:textId="77777777" w:rsidR="00014BF5" w:rsidRDefault="00014BF5" w:rsidP="00FA4B75">
      <w:pPr>
        <w:pStyle w:val="NoSpacing"/>
        <w:ind w:left="2268" w:hanging="2268"/>
      </w:pPr>
    </w:p>
    <w:p w14:paraId="7767797B" w14:textId="77777777" w:rsidR="00FA4B75" w:rsidRPr="0029322D" w:rsidRDefault="00FA4B75" w:rsidP="00FA4B75">
      <w:pPr>
        <w:pStyle w:val="NoSpacing"/>
        <w:ind w:left="2268" w:hanging="2268"/>
        <w:rPr>
          <w:b/>
        </w:rPr>
      </w:pPr>
      <w:r w:rsidRPr="007F5693">
        <w:rPr>
          <w:b/>
        </w:rPr>
        <w:t>Kvalifikationsstævner</w:t>
      </w:r>
      <w:r>
        <w:tab/>
        <w:t xml:space="preserve">Alle stævner med klasser, som følger FITEs regler (tidligere Euro Cup klasser). Undtaget er stævner med terminer, der har sammenfald med væsentlige danske stævner, fx DM, samt danske stævner, der har opnået godkendelse som kvalifikation til EM/VM. </w:t>
      </w:r>
    </w:p>
    <w:p w14:paraId="57AC6888" w14:textId="77777777" w:rsidR="00FA4B75" w:rsidRDefault="00FA4B75" w:rsidP="00FA4B75">
      <w:pPr>
        <w:pStyle w:val="NoSpacing"/>
        <w:ind w:left="2268" w:hanging="2268"/>
        <w:rPr>
          <w:b/>
        </w:rPr>
      </w:pPr>
      <w:r>
        <w:tab/>
      </w:r>
      <w:r>
        <w:tab/>
      </w:r>
    </w:p>
    <w:p w14:paraId="0C330532" w14:textId="77777777" w:rsidR="00FA4B75" w:rsidRDefault="00FA4B75" w:rsidP="00FA4B75">
      <w:pPr>
        <w:pStyle w:val="NoSpacing"/>
        <w:ind w:left="2268" w:hanging="2268"/>
      </w:pPr>
      <w:r>
        <w:rPr>
          <w:b/>
        </w:rPr>
        <w:tab/>
      </w:r>
      <w:r w:rsidR="00014BF5">
        <w:rPr>
          <w:b/>
        </w:rPr>
        <w:t>For h</w:t>
      </w:r>
      <w:r>
        <w:t>ver stævnesæson offentliggør TREC Danmark, hvilke stævner, der anses for væsentlige for udtagelse.</w:t>
      </w:r>
    </w:p>
    <w:p w14:paraId="1C5B1633" w14:textId="77777777" w:rsidR="00FA4B75" w:rsidRDefault="00FA4B75" w:rsidP="00FA4B75">
      <w:pPr>
        <w:pStyle w:val="NoSpacing"/>
        <w:ind w:left="2268" w:hanging="2268"/>
      </w:pPr>
    </w:p>
    <w:p w14:paraId="6D6F5D7E" w14:textId="77777777" w:rsidR="00FA4B75" w:rsidRDefault="00FA4B75" w:rsidP="00FA4B75">
      <w:pPr>
        <w:pStyle w:val="NoSpacing"/>
        <w:ind w:left="2268"/>
      </w:pPr>
      <w:r w:rsidRPr="00977BB8">
        <w:t xml:space="preserve">Konkurrencer i Danmark fx mesterskabsstævner og stævner med klasser på </w:t>
      </w:r>
      <w:r>
        <w:t xml:space="preserve">højeste </w:t>
      </w:r>
      <w:r w:rsidRPr="00977BB8">
        <w:t xml:space="preserve">niveauer prioriteres over </w:t>
      </w:r>
      <w:r w:rsidR="00014BF5">
        <w:t>s</w:t>
      </w:r>
      <w:r w:rsidRPr="00977BB8">
        <w:t>tævner</w:t>
      </w:r>
      <w:r w:rsidR="00014BF5">
        <w:t xml:space="preserve"> med klasser efter FITEs regler (tidligere </w:t>
      </w:r>
      <w:r w:rsidR="00014BF5" w:rsidRPr="00977BB8">
        <w:t>Euro Cup</w:t>
      </w:r>
      <w:r w:rsidR="00014BF5">
        <w:t xml:space="preserve"> klasser)</w:t>
      </w:r>
      <w:r w:rsidRPr="00977BB8">
        <w:t xml:space="preserve"> for at støtte de danske stævnearrangører. Dvs. at et stævne i udlandet på samme termin som et dansk mesterskabsstævne ikke kan bruges som kvalifikationsstævne.</w:t>
      </w:r>
    </w:p>
    <w:p w14:paraId="6462A91A" w14:textId="77777777" w:rsidR="00FA4B75" w:rsidRDefault="00FA4B75" w:rsidP="00FA4B75">
      <w:pPr>
        <w:pStyle w:val="NoSpacing"/>
        <w:ind w:left="2268" w:hanging="2268"/>
      </w:pPr>
    </w:p>
    <w:p w14:paraId="37FE2DE0" w14:textId="77777777" w:rsidR="00014BF5" w:rsidRDefault="00014BF5" w:rsidP="00FA4B75">
      <w:pPr>
        <w:pStyle w:val="NoSpacing"/>
        <w:ind w:left="2268" w:hanging="2268"/>
      </w:pPr>
    </w:p>
    <w:p w14:paraId="2D32C5A4" w14:textId="77777777" w:rsidR="00FA4B75" w:rsidRPr="003B2863" w:rsidRDefault="00FA4B75" w:rsidP="00FA4B75">
      <w:pPr>
        <w:pStyle w:val="NoSpacing"/>
        <w:ind w:left="2268" w:hanging="2268"/>
        <w:rPr>
          <w:i/>
        </w:rPr>
      </w:pPr>
      <w:r w:rsidRPr="003B2863">
        <w:rPr>
          <w:b/>
        </w:rPr>
        <w:t>Udtagelseskriterier</w:t>
      </w:r>
      <w:r>
        <w:tab/>
      </w:r>
      <w:r w:rsidRPr="003B2863">
        <w:rPr>
          <w:i/>
        </w:rPr>
        <w:t xml:space="preserve">Ingen af de nedennævnte punkter står alene i udtagelsesprocessen. Alle punkterne indgår i den samlede vurdering og i udtagelsen af </w:t>
      </w:r>
      <w:r>
        <w:rPr>
          <w:i/>
        </w:rPr>
        <w:t>ryttere</w:t>
      </w:r>
      <w:r w:rsidRPr="003B2863">
        <w:rPr>
          <w:i/>
        </w:rPr>
        <w:t>, der skal repræsentere Danmark.</w:t>
      </w:r>
    </w:p>
    <w:p w14:paraId="0FD4E133" w14:textId="77777777" w:rsidR="00FA4B75" w:rsidRDefault="00FA4B75" w:rsidP="00FA4B75">
      <w:pPr>
        <w:pStyle w:val="NoSpacing"/>
        <w:ind w:left="2268" w:hanging="2268"/>
      </w:pPr>
    </w:p>
    <w:p w14:paraId="74D012FA" w14:textId="77777777" w:rsidR="00FA4B75" w:rsidRDefault="00FA4B75" w:rsidP="00FA4B75">
      <w:pPr>
        <w:pStyle w:val="NoSpacing"/>
        <w:ind w:left="2268" w:hanging="2268"/>
      </w:pPr>
      <w:r>
        <w:tab/>
        <w:t xml:space="preserve">Ryttere, der ønsker at komme i betragtning til EM og VM, skal i kvalifikationsperioden have opnået de nedenfor beskrevne kvalifikationskrav. </w:t>
      </w:r>
      <w:r>
        <w:lastRenderedPageBreak/>
        <w:t>Opnåelse af kvalifikationskravene er en forudsætning for, men ikke en garanti for udtagelse.</w:t>
      </w:r>
    </w:p>
    <w:p w14:paraId="6D74FC86" w14:textId="77777777" w:rsidR="00FA4B75" w:rsidRDefault="00FA4B75" w:rsidP="00FA4B75">
      <w:pPr>
        <w:pStyle w:val="NoSpacing"/>
        <w:ind w:left="2268" w:hanging="2268"/>
      </w:pPr>
    </w:p>
    <w:p w14:paraId="3C089CB0" w14:textId="77777777" w:rsidR="00FA4B75" w:rsidRDefault="00FA4B75" w:rsidP="00FA4B75">
      <w:pPr>
        <w:pStyle w:val="NoSpacing"/>
        <w:ind w:left="2268" w:hanging="2268"/>
      </w:pPr>
      <w:r>
        <w:tab/>
        <w:t>Det er rytterens eget ansvar at holde sig informeret om gældende kvalifikationskrav og egen status. Bestyrelsen kan altid kontaktes ved spørgsmål.</w:t>
      </w:r>
    </w:p>
    <w:p w14:paraId="316FD717" w14:textId="77777777" w:rsidR="00FA4B75" w:rsidRDefault="00FA4B75" w:rsidP="00FA4B75">
      <w:pPr>
        <w:pStyle w:val="NoSpacing"/>
        <w:ind w:left="2268" w:hanging="2268"/>
      </w:pPr>
    </w:p>
    <w:p w14:paraId="2A9B6E50" w14:textId="77777777" w:rsidR="00FA4B75" w:rsidRDefault="00FA4B75" w:rsidP="00FA4B75">
      <w:pPr>
        <w:pStyle w:val="NoSpacing"/>
        <w:ind w:left="2268" w:hanging="2268"/>
      </w:pPr>
      <w:r>
        <w:tab/>
      </w:r>
      <w:r w:rsidRPr="006031EE">
        <w:t xml:space="preserve">Endelig udtagelse blandt de kvalificerede ryttere foretages af </w:t>
      </w:r>
      <w:r>
        <w:t>bestyrelsen</w:t>
      </w:r>
      <w:r w:rsidRPr="006031EE">
        <w:t>. Som rytter har man mulighed for at få begrundelse for, hvorfor og på hvilken baggrund man er/ikke er blevet udtaget.</w:t>
      </w:r>
    </w:p>
    <w:p w14:paraId="27E3CE8D" w14:textId="77777777" w:rsidR="00FA4B75" w:rsidRDefault="00FA4B75" w:rsidP="00FA4B75">
      <w:pPr>
        <w:pStyle w:val="NoSpacing"/>
        <w:ind w:left="2268" w:hanging="2268"/>
      </w:pPr>
    </w:p>
    <w:p w14:paraId="6977C8BE" w14:textId="77777777" w:rsidR="00FA4B75" w:rsidRDefault="00FA4B75" w:rsidP="00FA4B75">
      <w:pPr>
        <w:pStyle w:val="NoSpacing"/>
        <w:ind w:left="2268" w:hanging="2268"/>
      </w:pPr>
      <w:r>
        <w:rPr>
          <w:b/>
        </w:rPr>
        <w:tab/>
      </w:r>
      <w:r w:rsidRPr="003B2863">
        <w:rPr>
          <w:b/>
        </w:rPr>
        <w:t>VM</w:t>
      </w:r>
    </w:p>
    <w:p w14:paraId="335D12D7" w14:textId="77777777" w:rsidR="00FA4B75" w:rsidRPr="002E2B3D" w:rsidRDefault="00FA4B75" w:rsidP="00FA4B75">
      <w:pPr>
        <w:pStyle w:val="NoSpacing"/>
        <w:ind w:left="2268" w:hanging="2268"/>
        <w:rPr>
          <w:i/>
        </w:rPr>
      </w:pPr>
      <w:r>
        <w:tab/>
      </w:r>
      <w:r w:rsidRPr="002E2B3D">
        <w:rPr>
          <w:i/>
        </w:rPr>
        <w:t>VM</w:t>
      </w:r>
      <w:r>
        <w:rPr>
          <w:i/>
        </w:rPr>
        <w:t xml:space="preserve"> for Juniorer, Young Riders afholdes hvert 2. år (lige år) og for S</w:t>
      </w:r>
      <w:r w:rsidRPr="002E2B3D">
        <w:rPr>
          <w:i/>
        </w:rPr>
        <w:t>e</w:t>
      </w:r>
      <w:r>
        <w:rPr>
          <w:i/>
        </w:rPr>
        <w:t xml:space="preserve">niorer afholdes VM hvert 4. år. </w:t>
      </w:r>
    </w:p>
    <w:p w14:paraId="14A89893" w14:textId="77777777" w:rsidR="00FA4B75" w:rsidRDefault="00FA4B75" w:rsidP="00FA4B75">
      <w:pPr>
        <w:pStyle w:val="NoSpacing"/>
        <w:ind w:left="2268" w:hanging="2268"/>
      </w:pPr>
    </w:p>
    <w:p w14:paraId="22F20A68" w14:textId="77777777" w:rsidR="00FA4B75" w:rsidRDefault="00FA4B75" w:rsidP="00FA4B75">
      <w:pPr>
        <w:pStyle w:val="NoSpacing"/>
        <w:ind w:left="2552" w:hanging="284"/>
      </w:pPr>
      <w:r>
        <w:t>•</w:t>
      </w:r>
      <w:r>
        <w:tab/>
        <w:t>Ekvipagen skal i kvalifikationsperioden og inden sidste tilmeldingsfrist til VM have gennemført tre klasser nationalt eller internationalt.</w:t>
      </w:r>
    </w:p>
    <w:p w14:paraId="3A860ACD" w14:textId="77777777" w:rsidR="00FA4B75" w:rsidRDefault="00FA4B75" w:rsidP="00FA4B75">
      <w:pPr>
        <w:pStyle w:val="NoSpacing"/>
        <w:ind w:left="2552" w:hanging="284"/>
      </w:pPr>
      <w:r>
        <w:tab/>
        <w:t>Juniorer</w:t>
      </w:r>
      <w:r w:rsidR="003F7242">
        <w:t>: 15-20 km.</w:t>
      </w:r>
      <w:r>
        <w:t xml:space="preserve"> og Young Rider: 25-35 km. Senior: 35-45 km. </w:t>
      </w:r>
    </w:p>
    <w:p w14:paraId="43593E34" w14:textId="77777777" w:rsidR="00FA4B75" w:rsidRPr="00977BB8" w:rsidRDefault="00FA4B75" w:rsidP="00FA4B75">
      <w:pPr>
        <w:pStyle w:val="NoSpacing"/>
        <w:ind w:left="2552" w:hanging="284"/>
      </w:pPr>
      <w:r>
        <w:t>•</w:t>
      </w:r>
      <w:r>
        <w:tab/>
        <w:t>For hvert enkelt stævne</w:t>
      </w:r>
      <w:r w:rsidRPr="00977BB8">
        <w:t xml:space="preserve"> vurderer T</w:t>
      </w:r>
      <w:r w:rsidR="003F7242">
        <w:t>REC</w:t>
      </w:r>
      <w:r w:rsidRPr="00977BB8">
        <w:t xml:space="preserve"> Danmarks bestyrelse, om stævnet kan </w:t>
      </w:r>
      <w:r w:rsidR="003F7242">
        <w:t>godkendes</w:t>
      </w:r>
      <w:r w:rsidRPr="00977BB8">
        <w:t xml:space="preserve"> som kvalifikation</w:t>
      </w:r>
      <w:r>
        <w:t xml:space="preserve"> for rytteren,</w:t>
      </w:r>
      <w:r w:rsidRPr="00977BB8">
        <w:t xml:space="preserve"> idet stævnets kvaliteter og deltagermasse skal indgå i vurderingen. </w:t>
      </w:r>
    </w:p>
    <w:p w14:paraId="51B421AA" w14:textId="77777777" w:rsidR="00FA4B75" w:rsidRPr="00977BB8" w:rsidRDefault="00FA4B75" w:rsidP="00FA4B75">
      <w:pPr>
        <w:pStyle w:val="NoSpacing"/>
        <w:ind w:left="2552" w:hanging="284"/>
      </w:pPr>
      <w:r w:rsidRPr="00977BB8">
        <w:t>•</w:t>
      </w:r>
      <w:r w:rsidRPr="00977BB8">
        <w:tab/>
        <w:t>Ekvipagen skal være kvalificeret til at ride det pågældende ridt jf. FITE’s reglement (dansk statsborger og medlem af TREC Danmark).</w:t>
      </w:r>
    </w:p>
    <w:p w14:paraId="067C4942" w14:textId="77777777" w:rsidR="00FA4B75" w:rsidRPr="00977BB8" w:rsidRDefault="00FA4B75" w:rsidP="00FA4B75">
      <w:pPr>
        <w:pStyle w:val="NoSpacing"/>
        <w:ind w:left="2552" w:hanging="284"/>
      </w:pPr>
      <w:r w:rsidRPr="00977BB8">
        <w:t>•</w:t>
      </w:r>
      <w:r w:rsidRPr="00977BB8">
        <w:tab/>
        <w:t>For hold gælder, at minimum tre ekvipager skal have gennemført ovennævnte stævner, mens holdets 4. ekvipage skal have deltaget i minimum to stævner (ekvipager, der ikke opfylder kvalifikationskravet mht. stævneantal, kan således søge at blive 4. ekvipage på holdet</w:t>
      </w:r>
      <w:r w:rsidR="003F7242">
        <w:t xml:space="preserve"> og dermed som individuel deltager</w:t>
      </w:r>
      <w:r w:rsidRPr="00977BB8">
        <w:t>).</w:t>
      </w:r>
      <w:r w:rsidRPr="00977BB8">
        <w:tab/>
      </w:r>
    </w:p>
    <w:p w14:paraId="69131BED" w14:textId="77777777" w:rsidR="00FA4B75" w:rsidRPr="00977BB8" w:rsidRDefault="00FA4B75" w:rsidP="00FA4B75">
      <w:pPr>
        <w:pStyle w:val="NoSpacing"/>
        <w:ind w:left="2268" w:hanging="2268"/>
      </w:pPr>
    </w:p>
    <w:p w14:paraId="1D2340B8" w14:textId="77777777" w:rsidR="00FA4B75" w:rsidRPr="00977BB8" w:rsidRDefault="00FA4B75" w:rsidP="00FA4B75">
      <w:pPr>
        <w:pStyle w:val="NoSpacing"/>
        <w:ind w:left="2268" w:hanging="2268"/>
        <w:rPr>
          <w:b/>
        </w:rPr>
      </w:pPr>
      <w:r w:rsidRPr="00977BB8">
        <w:tab/>
      </w:r>
      <w:r w:rsidRPr="00977BB8">
        <w:rPr>
          <w:b/>
        </w:rPr>
        <w:t>EM</w:t>
      </w:r>
    </w:p>
    <w:p w14:paraId="6C76A2B7" w14:textId="77777777" w:rsidR="00FA4B75" w:rsidRPr="00977BB8" w:rsidRDefault="00FA4B75" w:rsidP="00FA4B75">
      <w:pPr>
        <w:pStyle w:val="NoSpacing"/>
        <w:ind w:left="2268" w:hanging="2268"/>
        <w:rPr>
          <w:i/>
        </w:rPr>
      </w:pPr>
      <w:r w:rsidRPr="00977BB8">
        <w:tab/>
      </w:r>
      <w:r w:rsidRPr="00977BB8">
        <w:rPr>
          <w:i/>
        </w:rPr>
        <w:t>EM for Juniorer og Young Riders afholdes hvert 2. år (ulige år)</w:t>
      </w:r>
      <w:r>
        <w:rPr>
          <w:i/>
        </w:rPr>
        <w:t xml:space="preserve"> og </w:t>
      </w:r>
      <w:r w:rsidRPr="00977BB8">
        <w:rPr>
          <w:i/>
        </w:rPr>
        <w:t>for Seniorer afholdes</w:t>
      </w:r>
      <w:r>
        <w:rPr>
          <w:i/>
        </w:rPr>
        <w:t xml:space="preserve"> EM</w:t>
      </w:r>
      <w:r w:rsidRPr="00977BB8">
        <w:rPr>
          <w:i/>
        </w:rPr>
        <w:t xml:space="preserve"> hvert 4. år. </w:t>
      </w:r>
    </w:p>
    <w:p w14:paraId="1E4D3873" w14:textId="77777777" w:rsidR="00FA4B75" w:rsidRPr="00977BB8" w:rsidRDefault="00FA4B75" w:rsidP="00FA4B75">
      <w:pPr>
        <w:pStyle w:val="NoSpacing"/>
        <w:tabs>
          <w:tab w:val="left" w:pos="2808"/>
        </w:tabs>
        <w:ind w:left="2268" w:hanging="2268"/>
      </w:pPr>
      <w:r w:rsidRPr="00977BB8">
        <w:tab/>
      </w:r>
    </w:p>
    <w:p w14:paraId="137B51E5" w14:textId="77777777" w:rsidR="00FA4B75" w:rsidRDefault="00FA4B75" w:rsidP="00FA4B75">
      <w:pPr>
        <w:pStyle w:val="NoSpacing"/>
        <w:ind w:left="2552" w:hanging="284"/>
      </w:pPr>
      <w:r w:rsidRPr="00977BB8">
        <w:t>•</w:t>
      </w:r>
      <w:r w:rsidRPr="00977BB8">
        <w:tab/>
      </w:r>
      <w:r>
        <w:tab/>
        <w:t>Ekvipagen skal i kvalifikationsperioden og inden sidste tilmeldingsfrist til EM have gennemført tre klasser nationalt eller internationalt.</w:t>
      </w:r>
    </w:p>
    <w:p w14:paraId="7D0187EB" w14:textId="77777777" w:rsidR="00FA4B75" w:rsidRDefault="00FA4B75" w:rsidP="00FA4B75">
      <w:pPr>
        <w:pStyle w:val="NoSpacing"/>
        <w:ind w:left="2552" w:hanging="284"/>
      </w:pPr>
      <w:r>
        <w:tab/>
        <w:t>Juniorer</w:t>
      </w:r>
      <w:r w:rsidR="003F7242">
        <w:t>: 15-20 km.</w:t>
      </w:r>
      <w:r>
        <w:t xml:space="preserve"> og Young Rider:  25-35 km. Senior: 35-45 km. </w:t>
      </w:r>
    </w:p>
    <w:p w14:paraId="3EC83862" w14:textId="77777777" w:rsidR="00FA4B75" w:rsidRPr="00977BB8" w:rsidRDefault="00FA4B75" w:rsidP="00FA4B75">
      <w:pPr>
        <w:pStyle w:val="NoSpacing"/>
        <w:ind w:left="2552" w:hanging="284"/>
      </w:pPr>
      <w:r>
        <w:t>•</w:t>
      </w:r>
      <w:r>
        <w:tab/>
        <w:t>For hvert enkelt stævne</w:t>
      </w:r>
      <w:r w:rsidRPr="00977BB8">
        <w:t xml:space="preserve"> vurderer T</w:t>
      </w:r>
      <w:r>
        <w:t>REC</w:t>
      </w:r>
      <w:r w:rsidRPr="00977BB8">
        <w:t xml:space="preserve"> Danmarks bestyrelse, om stævnet kan </w:t>
      </w:r>
      <w:r w:rsidR="003F7242">
        <w:t>godkendes</w:t>
      </w:r>
      <w:r w:rsidRPr="00977BB8">
        <w:t xml:space="preserve"> som kvalifikation</w:t>
      </w:r>
      <w:r>
        <w:t xml:space="preserve"> for rytteren,</w:t>
      </w:r>
      <w:r w:rsidRPr="00977BB8">
        <w:t xml:space="preserve"> idet stævnets kvaliteter og deltagermasse skal indgå i vurderingen. </w:t>
      </w:r>
    </w:p>
    <w:p w14:paraId="2227E4BD" w14:textId="77777777" w:rsidR="00FA4B75" w:rsidRPr="00977BB8" w:rsidRDefault="00FA4B75" w:rsidP="00FA4B75">
      <w:pPr>
        <w:pStyle w:val="NoSpacing"/>
        <w:ind w:left="2552" w:hanging="284"/>
      </w:pPr>
      <w:r w:rsidRPr="00977BB8">
        <w:t>•</w:t>
      </w:r>
      <w:r w:rsidRPr="00977BB8">
        <w:tab/>
        <w:t>Ekvipagen skal være kvalificeret til at ride det pågældende ridt jf. FITE’s reglement (dansk statsborger og medlem af TREC Danmark).</w:t>
      </w:r>
    </w:p>
    <w:p w14:paraId="6F7EF808" w14:textId="77777777" w:rsidR="00FA4B75" w:rsidRPr="00977BB8" w:rsidRDefault="00FA4B75" w:rsidP="00FA4B75">
      <w:pPr>
        <w:pStyle w:val="NoSpacing"/>
        <w:ind w:left="2552" w:hanging="284"/>
      </w:pPr>
      <w:r w:rsidRPr="00977BB8">
        <w:t>•</w:t>
      </w:r>
      <w:r w:rsidRPr="00977BB8">
        <w:tab/>
        <w:t>For hold gælder, at minimum tre ekvipager skal have gennemført ovennævnte stævner, mens holdets 4. ekvipage skal have deltaget i minimum to stævner (ekvipager, der ikke opfylder kvalifikationskravet mht. stævneantal, kan således søge at blive 4. ekvipage på holdet</w:t>
      </w:r>
      <w:r w:rsidR="003F7242">
        <w:t xml:space="preserve"> og dermed som individuel deltager</w:t>
      </w:r>
      <w:r w:rsidRPr="00977BB8">
        <w:t>).</w:t>
      </w:r>
      <w:r w:rsidRPr="00977BB8">
        <w:tab/>
      </w:r>
    </w:p>
    <w:p w14:paraId="74FE2EC8" w14:textId="77777777" w:rsidR="00014BF5" w:rsidRDefault="00014BF5" w:rsidP="00FA4B75">
      <w:pPr>
        <w:pStyle w:val="NoSpacing"/>
        <w:tabs>
          <w:tab w:val="left" w:pos="2808"/>
        </w:tabs>
        <w:ind w:left="2268" w:hanging="2268"/>
      </w:pPr>
    </w:p>
    <w:p w14:paraId="5655B3CE" w14:textId="77777777" w:rsidR="00FA4B75" w:rsidRDefault="00FA4B75" w:rsidP="00FA4B75">
      <w:pPr>
        <w:pStyle w:val="NoSpacing"/>
        <w:tabs>
          <w:tab w:val="left" w:pos="2808"/>
        </w:tabs>
        <w:ind w:left="2268" w:hanging="2268"/>
      </w:pPr>
      <w:r>
        <w:tab/>
      </w:r>
    </w:p>
    <w:p w14:paraId="30DFB722" w14:textId="77777777" w:rsidR="00FA4B75" w:rsidRDefault="00FA4B75" w:rsidP="00FA4B75">
      <w:pPr>
        <w:pStyle w:val="NoSpacing"/>
        <w:ind w:left="2268" w:hanging="2268"/>
        <w:rPr>
          <w:b/>
        </w:rPr>
      </w:pPr>
      <w:r w:rsidRPr="002E2B3D">
        <w:rPr>
          <w:b/>
        </w:rPr>
        <w:t>Generel</w:t>
      </w:r>
      <w:r>
        <w:rPr>
          <w:b/>
        </w:rPr>
        <w:t xml:space="preserve">le </w:t>
      </w:r>
    </w:p>
    <w:p w14:paraId="11817044" w14:textId="77777777" w:rsidR="00FA4B75" w:rsidRDefault="00FA4B75" w:rsidP="00FA4B75">
      <w:pPr>
        <w:pStyle w:val="NoSpacing"/>
        <w:ind w:left="2268" w:hanging="2268"/>
        <w:rPr>
          <w:position w:val="-4"/>
        </w:rPr>
      </w:pPr>
      <w:r>
        <w:rPr>
          <w:b/>
        </w:rPr>
        <w:t>Udtagelseskriterier</w:t>
      </w:r>
      <w:r>
        <w:rPr>
          <w:b/>
        </w:rPr>
        <w:tab/>
      </w:r>
      <w:r>
        <w:rPr>
          <w:position w:val="-4"/>
        </w:rPr>
        <w:t>Alle nedenstående punkter indgår i bedømmelsen af ekvipager:</w:t>
      </w:r>
    </w:p>
    <w:p w14:paraId="2DBC9D2C" w14:textId="77777777" w:rsidR="00FA4B75" w:rsidRPr="002E2B3D" w:rsidRDefault="00FA4B75" w:rsidP="00FA4B75">
      <w:pPr>
        <w:pStyle w:val="BodyText"/>
        <w:numPr>
          <w:ilvl w:val="0"/>
          <w:numId w:val="1"/>
        </w:numPr>
        <w:tabs>
          <w:tab w:val="clear" w:pos="540"/>
          <w:tab w:val="left" w:pos="851"/>
        </w:tabs>
        <w:ind w:left="2552" w:hanging="284"/>
        <w:rPr>
          <w:rFonts w:asciiTheme="minorHAnsi" w:hAnsiTheme="minorHAnsi"/>
          <w:color w:val="auto"/>
          <w:position w:val="-4"/>
        </w:rPr>
      </w:pPr>
      <w:r w:rsidRPr="002E2B3D">
        <w:rPr>
          <w:rFonts w:asciiTheme="minorHAnsi" w:hAnsiTheme="minorHAnsi"/>
          <w:color w:val="auto"/>
          <w:position w:val="-4"/>
        </w:rPr>
        <w:t>Ekvipagens resultater</w:t>
      </w:r>
      <w:r>
        <w:rPr>
          <w:rFonts w:asciiTheme="minorHAnsi" w:hAnsiTheme="minorHAnsi"/>
          <w:color w:val="auto"/>
          <w:position w:val="-4"/>
        </w:rPr>
        <w:t>.</w:t>
      </w:r>
      <w:r w:rsidRPr="002E2B3D">
        <w:rPr>
          <w:rFonts w:asciiTheme="minorHAnsi" w:hAnsiTheme="minorHAnsi"/>
          <w:color w:val="auto"/>
          <w:position w:val="-4"/>
        </w:rPr>
        <w:t xml:space="preserve"> </w:t>
      </w:r>
    </w:p>
    <w:p w14:paraId="37E66ADD" w14:textId="77777777" w:rsidR="00FA4B75" w:rsidRPr="002E2B3D" w:rsidRDefault="00FA4B75" w:rsidP="00FA4B75">
      <w:pPr>
        <w:pStyle w:val="BodyText"/>
        <w:numPr>
          <w:ilvl w:val="0"/>
          <w:numId w:val="1"/>
        </w:numPr>
        <w:tabs>
          <w:tab w:val="clear" w:pos="540"/>
          <w:tab w:val="left" w:pos="851"/>
        </w:tabs>
        <w:ind w:left="2552" w:hanging="284"/>
        <w:rPr>
          <w:rFonts w:asciiTheme="minorHAnsi" w:hAnsiTheme="minorHAnsi"/>
          <w:color w:val="auto"/>
          <w:position w:val="-4"/>
        </w:rPr>
      </w:pPr>
      <w:r w:rsidRPr="002E2B3D">
        <w:rPr>
          <w:rFonts w:asciiTheme="minorHAnsi" w:hAnsiTheme="minorHAnsi"/>
          <w:color w:val="auto"/>
          <w:position w:val="-4"/>
        </w:rPr>
        <w:t>Gennemførelsesprocent (Ekvipagens resultatmæssige stabilitet)</w:t>
      </w:r>
      <w:r>
        <w:rPr>
          <w:rFonts w:asciiTheme="minorHAnsi" w:hAnsiTheme="minorHAnsi"/>
          <w:color w:val="auto"/>
          <w:position w:val="-4"/>
        </w:rPr>
        <w:t>.</w:t>
      </w:r>
    </w:p>
    <w:p w14:paraId="1D9E7DDF" w14:textId="77777777" w:rsidR="00FA4B75" w:rsidRPr="002E2B3D" w:rsidRDefault="00FA4B75" w:rsidP="00FA4B75">
      <w:pPr>
        <w:pStyle w:val="BodyText"/>
        <w:numPr>
          <w:ilvl w:val="0"/>
          <w:numId w:val="1"/>
        </w:numPr>
        <w:tabs>
          <w:tab w:val="clear" w:pos="540"/>
          <w:tab w:val="left" w:pos="851"/>
        </w:tabs>
        <w:ind w:left="2552" w:hanging="284"/>
        <w:rPr>
          <w:rFonts w:asciiTheme="minorHAnsi" w:hAnsiTheme="minorHAnsi"/>
          <w:color w:val="auto"/>
          <w:position w:val="-4"/>
        </w:rPr>
      </w:pPr>
      <w:r w:rsidRPr="002E2B3D">
        <w:rPr>
          <w:rFonts w:asciiTheme="minorHAnsi" w:hAnsiTheme="minorHAnsi"/>
          <w:color w:val="auto"/>
          <w:position w:val="-4"/>
        </w:rPr>
        <w:t>Skadeshistorik</w:t>
      </w:r>
      <w:r>
        <w:rPr>
          <w:rFonts w:asciiTheme="minorHAnsi" w:hAnsiTheme="minorHAnsi"/>
          <w:color w:val="auto"/>
          <w:position w:val="-4"/>
        </w:rPr>
        <w:t>.</w:t>
      </w:r>
    </w:p>
    <w:p w14:paraId="644FA8D4" w14:textId="77777777" w:rsidR="00FA4B75" w:rsidRPr="002E2B3D" w:rsidRDefault="00FA4B75" w:rsidP="00FA4B75">
      <w:pPr>
        <w:pStyle w:val="BodyText"/>
        <w:numPr>
          <w:ilvl w:val="0"/>
          <w:numId w:val="1"/>
        </w:numPr>
        <w:tabs>
          <w:tab w:val="clear" w:pos="540"/>
          <w:tab w:val="left" w:pos="851"/>
        </w:tabs>
        <w:ind w:left="2552" w:hanging="284"/>
        <w:rPr>
          <w:rFonts w:asciiTheme="minorHAnsi" w:hAnsiTheme="minorHAnsi"/>
          <w:color w:val="auto"/>
          <w:position w:val="-4"/>
        </w:rPr>
      </w:pPr>
      <w:r w:rsidRPr="002E2B3D">
        <w:rPr>
          <w:rFonts w:asciiTheme="minorHAnsi" w:hAnsiTheme="minorHAnsi"/>
          <w:color w:val="auto"/>
          <w:position w:val="-4"/>
        </w:rPr>
        <w:t>Rytterens kvalifikationer, erfaring på højt niveau og aktuelle form</w:t>
      </w:r>
      <w:r>
        <w:rPr>
          <w:rFonts w:asciiTheme="minorHAnsi" w:hAnsiTheme="minorHAnsi"/>
          <w:color w:val="auto"/>
          <w:position w:val="-4"/>
        </w:rPr>
        <w:t>.</w:t>
      </w:r>
    </w:p>
    <w:p w14:paraId="5F0CBE88" w14:textId="77777777" w:rsidR="00FA4B75" w:rsidRPr="002E2B3D" w:rsidRDefault="00FA4B75" w:rsidP="00FA4B75">
      <w:pPr>
        <w:pStyle w:val="BodyText"/>
        <w:numPr>
          <w:ilvl w:val="0"/>
          <w:numId w:val="1"/>
        </w:numPr>
        <w:tabs>
          <w:tab w:val="clear" w:pos="540"/>
          <w:tab w:val="left" w:pos="851"/>
        </w:tabs>
        <w:ind w:left="2552" w:hanging="284"/>
        <w:rPr>
          <w:rFonts w:asciiTheme="minorHAnsi" w:hAnsiTheme="minorHAnsi"/>
          <w:color w:val="auto"/>
          <w:position w:val="-4"/>
        </w:rPr>
      </w:pPr>
      <w:r w:rsidRPr="002E2B3D">
        <w:rPr>
          <w:rFonts w:asciiTheme="minorHAnsi" w:hAnsiTheme="minorHAnsi"/>
          <w:color w:val="auto"/>
          <w:position w:val="-4"/>
        </w:rPr>
        <w:t>Hestens kvalitet, potentiale og aktuelle form</w:t>
      </w:r>
      <w:r>
        <w:rPr>
          <w:rFonts w:asciiTheme="minorHAnsi" w:hAnsiTheme="minorHAnsi"/>
          <w:color w:val="auto"/>
          <w:position w:val="-4"/>
        </w:rPr>
        <w:t>.</w:t>
      </w:r>
    </w:p>
    <w:p w14:paraId="06F6485E" w14:textId="77777777" w:rsidR="00FA4B75" w:rsidRPr="002E2B3D" w:rsidRDefault="00FA4B75" w:rsidP="00FA4B75">
      <w:pPr>
        <w:pStyle w:val="BodyText"/>
        <w:numPr>
          <w:ilvl w:val="0"/>
          <w:numId w:val="1"/>
        </w:numPr>
        <w:tabs>
          <w:tab w:val="clear" w:pos="540"/>
          <w:tab w:val="left" w:pos="851"/>
        </w:tabs>
        <w:ind w:left="2552" w:hanging="284"/>
        <w:rPr>
          <w:rFonts w:asciiTheme="minorHAnsi" w:hAnsiTheme="minorHAnsi"/>
          <w:color w:val="auto"/>
          <w:position w:val="-4"/>
        </w:rPr>
      </w:pPr>
      <w:r w:rsidRPr="002E2B3D">
        <w:rPr>
          <w:rFonts w:asciiTheme="minorHAnsi" w:hAnsiTheme="minorHAnsi"/>
          <w:color w:val="auto"/>
          <w:position w:val="-4"/>
        </w:rPr>
        <w:t>Rytterens ridetekniske og fysiske form</w:t>
      </w:r>
      <w:r>
        <w:rPr>
          <w:rFonts w:asciiTheme="minorHAnsi" w:hAnsiTheme="minorHAnsi"/>
          <w:color w:val="auto"/>
          <w:position w:val="-4"/>
        </w:rPr>
        <w:t>.</w:t>
      </w:r>
    </w:p>
    <w:p w14:paraId="3142F346" w14:textId="77777777" w:rsidR="00FA4B75" w:rsidRPr="002E2B3D" w:rsidRDefault="003F7242" w:rsidP="00FA4B75">
      <w:pPr>
        <w:pStyle w:val="BodyText"/>
        <w:numPr>
          <w:ilvl w:val="0"/>
          <w:numId w:val="1"/>
        </w:numPr>
        <w:tabs>
          <w:tab w:val="clear" w:pos="540"/>
          <w:tab w:val="left" w:pos="851"/>
        </w:tabs>
        <w:ind w:left="2552" w:hanging="284"/>
        <w:rPr>
          <w:rFonts w:asciiTheme="minorHAnsi" w:hAnsiTheme="minorHAnsi"/>
          <w:color w:val="auto"/>
          <w:position w:val="-4"/>
        </w:rPr>
      </w:pPr>
      <w:r>
        <w:rPr>
          <w:rFonts w:asciiTheme="minorHAnsi" w:hAnsiTheme="minorHAnsi"/>
          <w:color w:val="auto"/>
          <w:position w:val="-4"/>
        </w:rPr>
        <w:t>Ekvipagens udviklingspotentiale</w:t>
      </w:r>
      <w:r w:rsidR="00FA4B75">
        <w:rPr>
          <w:rFonts w:asciiTheme="minorHAnsi" w:hAnsiTheme="minorHAnsi"/>
          <w:color w:val="auto"/>
          <w:position w:val="-4"/>
        </w:rPr>
        <w:t>.</w:t>
      </w:r>
    </w:p>
    <w:p w14:paraId="707B95F3" w14:textId="77777777" w:rsidR="00FA4B75" w:rsidRPr="002E2B3D" w:rsidRDefault="00FA4B75" w:rsidP="00FA4B75">
      <w:pPr>
        <w:pStyle w:val="BodyText"/>
        <w:numPr>
          <w:ilvl w:val="0"/>
          <w:numId w:val="1"/>
        </w:numPr>
        <w:tabs>
          <w:tab w:val="clear" w:pos="540"/>
          <w:tab w:val="left" w:pos="851"/>
        </w:tabs>
        <w:ind w:left="2552" w:hanging="284"/>
        <w:rPr>
          <w:rFonts w:asciiTheme="minorHAnsi" w:hAnsiTheme="minorHAnsi"/>
          <w:color w:val="auto"/>
          <w:position w:val="-4"/>
        </w:rPr>
      </w:pPr>
      <w:r w:rsidRPr="002E2B3D">
        <w:rPr>
          <w:rFonts w:asciiTheme="minorHAnsi" w:hAnsiTheme="minorHAnsi"/>
          <w:color w:val="auto"/>
          <w:position w:val="-4"/>
        </w:rPr>
        <w:lastRenderedPageBreak/>
        <w:t>Rytterens evne til at bidrage til holdets succes og atmosfære</w:t>
      </w:r>
      <w:r>
        <w:rPr>
          <w:rFonts w:asciiTheme="minorHAnsi" w:hAnsiTheme="minorHAnsi"/>
          <w:color w:val="auto"/>
          <w:position w:val="-4"/>
        </w:rPr>
        <w:t>.</w:t>
      </w:r>
    </w:p>
    <w:p w14:paraId="50347D18" w14:textId="77777777" w:rsidR="00FA4B75" w:rsidRPr="002E2B3D" w:rsidRDefault="00FA4B75" w:rsidP="00FA4B75">
      <w:pPr>
        <w:pStyle w:val="BodyText"/>
        <w:numPr>
          <w:ilvl w:val="0"/>
          <w:numId w:val="1"/>
        </w:numPr>
        <w:tabs>
          <w:tab w:val="clear" w:pos="540"/>
          <w:tab w:val="left" w:pos="851"/>
        </w:tabs>
        <w:ind w:left="2552" w:hanging="284"/>
        <w:rPr>
          <w:rFonts w:asciiTheme="minorHAnsi" w:hAnsiTheme="minorHAnsi"/>
          <w:color w:val="auto"/>
          <w:position w:val="-4"/>
        </w:rPr>
      </w:pPr>
      <w:r w:rsidRPr="002E2B3D">
        <w:rPr>
          <w:rFonts w:asciiTheme="minorHAnsi" w:hAnsiTheme="minorHAnsi"/>
          <w:color w:val="auto"/>
          <w:position w:val="-4"/>
        </w:rPr>
        <w:t>Indgåelse af rytterkontrakt og accept af vilkår for landholdsdeltagelse</w:t>
      </w:r>
      <w:r>
        <w:rPr>
          <w:rFonts w:asciiTheme="minorHAnsi" w:hAnsiTheme="minorHAnsi"/>
          <w:color w:val="auto"/>
          <w:position w:val="-4"/>
        </w:rPr>
        <w:t>.</w:t>
      </w:r>
    </w:p>
    <w:p w14:paraId="08AFD844" w14:textId="77777777" w:rsidR="00FA4B75" w:rsidRPr="002E2B3D" w:rsidRDefault="00FA4B75" w:rsidP="00FA4B75">
      <w:pPr>
        <w:pStyle w:val="BodyText"/>
        <w:ind w:left="2552" w:hanging="284"/>
        <w:rPr>
          <w:rFonts w:asciiTheme="minorHAnsi" w:hAnsiTheme="minorHAnsi"/>
          <w:color w:val="auto"/>
        </w:rPr>
      </w:pPr>
    </w:p>
    <w:p w14:paraId="5D08544F" w14:textId="77777777" w:rsidR="00FA4B75" w:rsidRPr="002E2B3D" w:rsidRDefault="00FA4B75" w:rsidP="00FA4B75">
      <w:pPr>
        <w:pStyle w:val="NoSpacing"/>
        <w:ind w:left="2268"/>
      </w:pPr>
      <w:r w:rsidRPr="002E2B3D">
        <w:t xml:space="preserve">Hvis hesten bliver syg, skadet eller ekvipagen på anden måde bliver forhindret i at deltage efter udtagelse skal dette hurtigst muligt meddeles til </w:t>
      </w:r>
      <w:hyperlink r:id="rId9" w:history="1">
        <w:r w:rsidRPr="00E477A0">
          <w:rPr>
            <w:rStyle w:val="Hyperlink"/>
          </w:rPr>
          <w:t>bestyrelse@trec.dk</w:t>
        </w:r>
      </w:hyperlink>
      <w:r>
        <w:t xml:space="preserve">. </w:t>
      </w:r>
    </w:p>
    <w:p w14:paraId="23974FF7" w14:textId="77777777" w:rsidR="00FA4B75" w:rsidRDefault="00FA4B75" w:rsidP="00FA4B75">
      <w:pPr>
        <w:pStyle w:val="NoSpacing"/>
        <w:ind w:left="2268" w:hanging="2268"/>
      </w:pPr>
    </w:p>
    <w:p w14:paraId="7EE37478" w14:textId="77777777" w:rsidR="00014BF5" w:rsidRDefault="00014BF5" w:rsidP="00FA4B75">
      <w:pPr>
        <w:pStyle w:val="NoSpacing"/>
        <w:ind w:left="2268" w:hanging="2268"/>
      </w:pPr>
    </w:p>
    <w:p w14:paraId="76F81335" w14:textId="77777777" w:rsidR="00FA4B75" w:rsidRDefault="00FA4B75" w:rsidP="00FA4B75">
      <w:pPr>
        <w:pStyle w:val="NoSpacing"/>
        <w:ind w:left="2268" w:hanging="2268"/>
      </w:pPr>
      <w:r>
        <w:rPr>
          <w:b/>
        </w:rPr>
        <w:t>Tilmelding til EM/VM</w:t>
      </w:r>
      <w:r>
        <w:rPr>
          <w:b/>
        </w:rPr>
        <w:tab/>
      </w:r>
      <w:r w:rsidRPr="00B03F03">
        <w:t>TREC Danmark</w:t>
      </w:r>
      <w:r>
        <w:rPr>
          <w:b/>
        </w:rPr>
        <w:t xml:space="preserve"> </w:t>
      </w:r>
      <w:r>
        <w:t>t</w:t>
      </w:r>
      <w:r w:rsidRPr="003B2863">
        <w:t>ilmeld</w:t>
      </w:r>
      <w:r>
        <w:t xml:space="preserve">er de udvalgte ekvipager </w:t>
      </w:r>
      <w:r w:rsidRPr="003B2863">
        <w:t xml:space="preserve">direkte til stævnearrangøren </w:t>
      </w:r>
      <w:r>
        <w:t xml:space="preserve">sammen med en obligatorisk Chef d’Equipe (Holdleder). </w:t>
      </w:r>
    </w:p>
    <w:p w14:paraId="2605BC96" w14:textId="77777777" w:rsidR="00FA4B75" w:rsidRDefault="00FA4B75" w:rsidP="00FA4B75">
      <w:pPr>
        <w:pStyle w:val="NoSpacing"/>
        <w:ind w:left="2268" w:hanging="2268"/>
      </w:pPr>
    </w:p>
    <w:p w14:paraId="4520825C" w14:textId="77777777" w:rsidR="00014BF5" w:rsidRDefault="00014BF5" w:rsidP="00FA4B75">
      <w:pPr>
        <w:pStyle w:val="NoSpacing"/>
        <w:ind w:left="2268" w:hanging="2268"/>
      </w:pPr>
    </w:p>
    <w:p w14:paraId="0B35E249" w14:textId="77777777" w:rsidR="00FA4B75" w:rsidRPr="0048177A" w:rsidRDefault="00FA4B75" w:rsidP="00FA4B75">
      <w:pPr>
        <w:pStyle w:val="NoSpacing"/>
        <w:ind w:left="2268" w:hanging="2268"/>
        <w:rPr>
          <w:b/>
        </w:rPr>
      </w:pPr>
      <w:r w:rsidRPr="0048177A">
        <w:rPr>
          <w:b/>
        </w:rPr>
        <w:t>Normer og værdier</w:t>
      </w:r>
      <w:r w:rsidRPr="0048177A">
        <w:rPr>
          <w:b/>
        </w:rPr>
        <w:tab/>
      </w:r>
      <w:r w:rsidRPr="007F5693">
        <w:t>Nedenstående gælder for landshold</w:t>
      </w:r>
      <w:r>
        <w:t>sryttere</w:t>
      </w:r>
      <w:r w:rsidRPr="007F5693">
        <w:t xml:space="preserve"> og ryttere generelt</w:t>
      </w:r>
      <w:r>
        <w:t>:</w:t>
      </w:r>
    </w:p>
    <w:p w14:paraId="2D36BC59" w14:textId="77777777" w:rsidR="00FA4B75" w:rsidRDefault="00FA4B75" w:rsidP="00FA4B75">
      <w:pPr>
        <w:pStyle w:val="NoSpacing"/>
        <w:ind w:left="2552" w:hanging="284"/>
      </w:pPr>
      <w:r>
        <w:t>•</w:t>
      </w:r>
      <w:r>
        <w:tab/>
        <w:t>Ryttere forpligter sig til at have kendskab til og overholde FEI’s Equine Anti-doping and Medication Rules, FEI’s Anti-doping Rules for Human Athletes samt Anti Doping Danmarks nationale regler for antidoping.</w:t>
      </w:r>
    </w:p>
    <w:p w14:paraId="27E47428" w14:textId="77777777" w:rsidR="00FA4B75" w:rsidRDefault="00FA4B75" w:rsidP="00FA4B75">
      <w:pPr>
        <w:pStyle w:val="NoSpacing"/>
        <w:ind w:left="2552" w:hanging="284"/>
      </w:pPr>
      <w:r>
        <w:t>•</w:t>
      </w:r>
      <w:r>
        <w:tab/>
        <w:t>Ryttere skal optræde som gode rollemodeller for yngre udøvere. Som rollemodel skal udøverne og trænerne stræbe efter god sportslig optræden, og er forpligtiget til at overholde idrættens fairplay principper samt generelle dyrevelfærdsprincipper.</w:t>
      </w:r>
    </w:p>
    <w:p w14:paraId="0248E380" w14:textId="77777777" w:rsidR="00FA4B75" w:rsidRDefault="00FA4B75" w:rsidP="00FA4B75">
      <w:pPr>
        <w:pStyle w:val="NoSpacing"/>
        <w:ind w:left="2552" w:hanging="284"/>
      </w:pPr>
      <w:r>
        <w:t>•</w:t>
      </w:r>
      <w:r>
        <w:tab/>
        <w:t>Ryttere skal være loyale overfor nærværende Sportsplan. Evt. afvigelser fra Sportsplanen aftales med bestyrelsen.</w:t>
      </w:r>
    </w:p>
    <w:p w14:paraId="414C451F" w14:textId="77777777" w:rsidR="00FA4B75" w:rsidRDefault="00FA4B75" w:rsidP="00FA4B75">
      <w:pPr>
        <w:pStyle w:val="NoSpacing"/>
        <w:ind w:left="2552" w:hanging="284"/>
      </w:pPr>
      <w:r>
        <w:t>•</w:t>
      </w:r>
      <w:r>
        <w:tab/>
        <w:t xml:space="preserve">Ryttere skal stræbe efter et samarbejde – indbyrdes såvel som med bestyrelsen – der bygger på gensidig tillid og åbenhed, og sikre at al kommunikation foregår i en god tone. Dette indebærer også, at hver udøver selv er ansvarlig for at holde sig informeret via </w:t>
      </w:r>
      <w:hyperlink r:id="rId10" w:history="1">
        <w:r w:rsidRPr="00E477A0">
          <w:rPr>
            <w:rStyle w:val="Hyperlink"/>
          </w:rPr>
          <w:t>www.trec.dk</w:t>
        </w:r>
      </w:hyperlink>
      <w:r>
        <w:t xml:space="preserve"> (alternativt TREC Danmarks sociale media) samt tæt kontakt til bestyrelsen, og informere om alle væsentligheder af sportslig karakter.</w:t>
      </w:r>
    </w:p>
    <w:p w14:paraId="260482C5" w14:textId="77777777" w:rsidR="00FA4B75" w:rsidRDefault="00FA4B75" w:rsidP="00FA4B75">
      <w:pPr>
        <w:pStyle w:val="NoSpacing"/>
        <w:numPr>
          <w:ilvl w:val="0"/>
          <w:numId w:val="2"/>
        </w:numPr>
        <w:ind w:left="2552" w:hanging="284"/>
      </w:pPr>
      <w:r>
        <w:t>Udøveren skal holde sig selv og sin hest i god fysisk form med henblik på at optimere forudsætningerne for at præstere optimalt.</w:t>
      </w:r>
    </w:p>
    <w:p w14:paraId="16197525" w14:textId="77777777" w:rsidR="00FA4B75" w:rsidRDefault="00FA4B75" w:rsidP="00FA4B75">
      <w:pPr>
        <w:pStyle w:val="NoSpacing"/>
        <w:ind w:left="2552" w:hanging="284"/>
      </w:pPr>
      <w:r>
        <w:t>•</w:t>
      </w:r>
      <w:r>
        <w:tab/>
        <w:t xml:space="preserve">Som </w:t>
      </w:r>
      <w:r w:rsidRPr="007F5693">
        <w:t>landshold</w:t>
      </w:r>
      <w:r>
        <w:t>srytter er man en stærk ambassadør for ridesporten. Rytterne og TREC Danmark skal have en åben kommunikation og informere hinanden. Hver enkelt rytter er selv ansvarlig for at holde sig informeret og informere TREC Danmark. Generel kommunikation – uanset om det er i interviews til pressen, udtryk af holdninger og meninger på sociale media, imellem udøvere og trænere eller til andre af ridesportens interessenter skal det foregå i en god tone. Sport på højt plan er følelser – begejstring, glæder og skuffelser – og både udøvere og trænere må gerne vise følelser i deres kommunikation.</w:t>
      </w:r>
    </w:p>
    <w:p w14:paraId="69AFBB0B" w14:textId="77777777" w:rsidR="00FA4B75" w:rsidRDefault="00FA4B75" w:rsidP="00FA4B75">
      <w:pPr>
        <w:pStyle w:val="NoSpacing"/>
        <w:ind w:left="2552" w:hanging="284"/>
      </w:pPr>
      <w:r>
        <w:t>•</w:t>
      </w:r>
      <w:r>
        <w:tab/>
        <w:t xml:space="preserve">Kontroverser, konflikter og modsatrettede meninger og holdninger imellem </w:t>
      </w:r>
      <w:r w:rsidRPr="007F5693">
        <w:t>landshold</w:t>
      </w:r>
      <w:r>
        <w:t xml:space="preserve">sryttere og TREC Danmark søges løst internt. Grundlæggende har </w:t>
      </w:r>
      <w:r w:rsidRPr="007F5693">
        <w:t>landshold</w:t>
      </w:r>
      <w:r>
        <w:t>sryttere ret til at udtale sig – men ikke pligt.</w:t>
      </w:r>
    </w:p>
    <w:p w14:paraId="15A79474" w14:textId="77777777" w:rsidR="00FA4B75" w:rsidRDefault="00FA4B75" w:rsidP="00FA4B75">
      <w:pPr>
        <w:pStyle w:val="NoSpacing"/>
        <w:ind w:left="2552" w:hanging="284"/>
      </w:pPr>
      <w:r>
        <w:t>•</w:t>
      </w:r>
      <w:r>
        <w:tab/>
        <w:t>Rytterne er forpligtiget til at følge de gældende reglementer og efterkomme retningslinjer for etik og god opførsel samt fremtræden.</w:t>
      </w:r>
    </w:p>
    <w:p w14:paraId="58F6D87E" w14:textId="77777777" w:rsidR="00FA4B75" w:rsidRDefault="00FA4B75" w:rsidP="00FA4B75">
      <w:pPr>
        <w:pStyle w:val="NoSpacing"/>
        <w:ind w:left="2552" w:hanging="284"/>
      </w:pPr>
      <w:r>
        <w:t>•</w:t>
      </w:r>
      <w:r>
        <w:tab/>
        <w:t>Rytterne skal være loyale overfor tiltag og planer, TREC Danmarks bestyrelse samt overfor sine holdkammerater. Modarbejdelse, negativitet og intriger svækker udviklingen for alle parter og for sporten.</w:t>
      </w:r>
    </w:p>
    <w:p w14:paraId="10DC3603" w14:textId="77777777" w:rsidR="00FA4B75" w:rsidRDefault="00FA4B75" w:rsidP="00FA4B75">
      <w:pPr>
        <w:pStyle w:val="NoSpacing"/>
        <w:ind w:left="2552" w:hanging="284"/>
      </w:pPr>
      <w:r>
        <w:t>•</w:t>
      </w:r>
      <w:r>
        <w:tab/>
        <w:t>Hvis det skønnes nødvendigt, kan der foretages sundhedstjek på hesten</w:t>
      </w:r>
    </w:p>
    <w:p w14:paraId="6B10DB91" w14:textId="77777777" w:rsidR="00FA4B75" w:rsidRDefault="00FA4B75" w:rsidP="00FA4B75">
      <w:pPr>
        <w:pStyle w:val="NoSpacing"/>
        <w:ind w:left="2552" w:hanging="284"/>
      </w:pPr>
      <w:r>
        <w:t>•</w:t>
      </w:r>
      <w:r>
        <w:tab/>
        <w:t>Rytteren skal sikre rigtig kost for både hest og rytter.</w:t>
      </w:r>
    </w:p>
    <w:p w14:paraId="00C438A6" w14:textId="77777777" w:rsidR="00FA4B75" w:rsidRDefault="00FA4B75" w:rsidP="00FA4B75">
      <w:pPr>
        <w:pStyle w:val="NoSpacing"/>
        <w:ind w:left="2552" w:hanging="284"/>
      </w:pPr>
      <w:r>
        <w:t>•</w:t>
      </w:r>
      <w:r>
        <w:tab/>
        <w:t>Rytteren skal sikre god sportslig optræden og fair play.</w:t>
      </w:r>
    </w:p>
    <w:p w14:paraId="02BDEC3C" w14:textId="77777777" w:rsidR="00FA4B75" w:rsidRDefault="00FA4B75" w:rsidP="00FA4B75">
      <w:pPr>
        <w:pStyle w:val="NoSpacing"/>
        <w:ind w:left="2268" w:hanging="2268"/>
      </w:pPr>
    </w:p>
    <w:p w14:paraId="4B1C688E" w14:textId="77777777" w:rsidR="00014BF5" w:rsidRDefault="00014BF5" w:rsidP="00FA4B75">
      <w:pPr>
        <w:pStyle w:val="NoSpacing"/>
        <w:ind w:left="2268" w:hanging="2268"/>
      </w:pPr>
    </w:p>
    <w:p w14:paraId="1BE3DBC0" w14:textId="77777777" w:rsidR="00FA4B75" w:rsidRDefault="00FA4B75" w:rsidP="00FA4B75">
      <w:pPr>
        <w:pStyle w:val="NoSpacing"/>
        <w:ind w:left="2268" w:hanging="2268"/>
      </w:pPr>
      <w:r w:rsidRPr="00267044">
        <w:rPr>
          <w:b/>
        </w:rPr>
        <w:t>Vilkår</w:t>
      </w:r>
      <w:r>
        <w:t xml:space="preserve"> </w:t>
      </w:r>
      <w:r>
        <w:tab/>
        <w:t>Alle ryttere har pligt til at holde bestyrelsen orienteret om ekvipagens fysiske fitness.</w:t>
      </w:r>
    </w:p>
    <w:p w14:paraId="0F721CE9" w14:textId="77777777" w:rsidR="00FA4B75" w:rsidRDefault="00FA4B75" w:rsidP="00FA4B75">
      <w:pPr>
        <w:pStyle w:val="NoSpacing"/>
        <w:ind w:left="2268"/>
      </w:pPr>
      <w:r>
        <w:t>Aftaler og forpligtelser om evt. tøj/udstyr, vil blive udsendt, når økonomi og sponsorsituationen kendes.</w:t>
      </w:r>
    </w:p>
    <w:p w14:paraId="27CBC70D" w14:textId="77777777" w:rsidR="00FA4B75" w:rsidRDefault="00FA4B75" w:rsidP="00FA4B75">
      <w:pPr>
        <w:pStyle w:val="NoSpacing"/>
        <w:ind w:left="2268"/>
      </w:pPr>
      <w:r>
        <w:t>Udgiften til Chef d’E</w:t>
      </w:r>
      <w:r w:rsidR="003F7242">
        <w:t>q</w:t>
      </w:r>
      <w:r>
        <w:t>uipe afholdes af de udtagne/deltagende ryttere.</w:t>
      </w:r>
    </w:p>
    <w:p w14:paraId="4F9FFE3C" w14:textId="77777777" w:rsidR="00FA4B75" w:rsidRDefault="00FA4B75" w:rsidP="00FA4B75">
      <w:pPr>
        <w:pStyle w:val="NoSpacing"/>
        <w:ind w:left="2268"/>
      </w:pPr>
      <w:r>
        <w:t xml:space="preserve">TREC Danmark kan desværre ikke give </w:t>
      </w:r>
      <w:r w:rsidR="003F7242">
        <w:t xml:space="preserve">økonomisk </w:t>
      </w:r>
      <w:r>
        <w:t>tilskud ved deltagelse i EM</w:t>
      </w:r>
      <w:r w:rsidR="003F7242">
        <w:t>,</w:t>
      </w:r>
      <w:r>
        <w:t xml:space="preserve"> VM og internationale stævner. </w:t>
      </w:r>
    </w:p>
    <w:p w14:paraId="47E92CB2" w14:textId="77777777" w:rsidR="003F7242" w:rsidRDefault="003F7242" w:rsidP="00FA4B75">
      <w:pPr>
        <w:pStyle w:val="NoSpacing"/>
        <w:ind w:left="2268"/>
      </w:pPr>
      <w:r>
        <w:lastRenderedPageBreak/>
        <w:t xml:space="preserve">I det omfang TREC Danmark udleverer tøj og udstyr til deltagere i EM og VM skal dette anvendes i overensstemmelse med TREC Danmarks anvisninger.  </w:t>
      </w:r>
    </w:p>
    <w:p w14:paraId="57648DE4" w14:textId="77777777" w:rsidR="00FA4B75" w:rsidRDefault="00FA4B75" w:rsidP="00FA4B75">
      <w:pPr>
        <w:pStyle w:val="NoSpacing"/>
        <w:ind w:left="2268" w:hanging="2268"/>
      </w:pPr>
    </w:p>
    <w:p w14:paraId="47A44CE1" w14:textId="77777777" w:rsidR="00014BF5" w:rsidRDefault="00014BF5" w:rsidP="00FA4B75">
      <w:pPr>
        <w:pStyle w:val="NoSpacing"/>
        <w:ind w:left="2268" w:hanging="2268"/>
      </w:pPr>
    </w:p>
    <w:p w14:paraId="0526208B" w14:textId="77777777" w:rsidR="00FA4B75" w:rsidRDefault="00FA4B75" w:rsidP="00FA4B75">
      <w:pPr>
        <w:pStyle w:val="NoSpacing"/>
        <w:ind w:left="2268" w:hanging="2268"/>
      </w:pPr>
      <w:r w:rsidRPr="00267044">
        <w:rPr>
          <w:b/>
        </w:rPr>
        <w:t>Medicinsk behandling</w:t>
      </w:r>
      <w:r>
        <w:tab/>
        <w:t>Det er en klar målsætning, at heste, der deltager i konkurrence, skal være klar til opgaven på en måde, så medicinsk behandling, før, under eller efter konkurrence, ikke er nødvendig. I visse tilfælde kan der være et legitimt behov for behandling af en hest i forbindelse med stævnedeltagelse. I så fald foretages dette i henhold til FEI’s regler for akutbehandling af en hest.</w:t>
      </w:r>
    </w:p>
    <w:p w14:paraId="22BB2EF1" w14:textId="77777777" w:rsidR="00FA4B75" w:rsidRDefault="00FA4B75" w:rsidP="00FA4B75">
      <w:pPr>
        <w:pStyle w:val="NoSpacing"/>
        <w:ind w:left="2268"/>
      </w:pPr>
    </w:p>
    <w:p w14:paraId="0204A11B" w14:textId="77777777" w:rsidR="00FA4B75" w:rsidRDefault="00FA4B75" w:rsidP="00FA4B75">
      <w:pPr>
        <w:pStyle w:val="NoSpacing"/>
        <w:ind w:left="2268"/>
      </w:pPr>
      <w:r>
        <w:t>Det er specifikt angivet i dansk lovgivning, at træning og brug af heste skal være tilpasset hestenes fysiske kapacitet. Enhver form for medicinering og behandling, herunder kirurgisk behandling, som har til formål at skjule sygdomssymptomer, så hesten kan træne og deltage i konkurrencer, er ikke tilladt.</w:t>
      </w:r>
    </w:p>
    <w:p w14:paraId="06A53C37" w14:textId="77777777" w:rsidR="00FA4B75" w:rsidRDefault="00FA4B75" w:rsidP="00FA4B75">
      <w:pPr>
        <w:pStyle w:val="NoSpacing"/>
        <w:ind w:left="2268"/>
      </w:pPr>
      <w:r>
        <w:t>Forebyggende eller rutinemæssig væskebehandling af heste før, under eller efter stævner er ikke acceptabelt eller tilladt under danske forhold.</w:t>
      </w:r>
    </w:p>
    <w:p w14:paraId="0C03AE54" w14:textId="77777777" w:rsidR="00FA4B75" w:rsidRDefault="00FA4B75" w:rsidP="00FA4B75">
      <w:pPr>
        <w:pStyle w:val="NoSpacing"/>
        <w:ind w:left="2268"/>
      </w:pPr>
      <w:r>
        <w:t>For det tilfælde at en individuel hest får behov for behandling på en stævneplads som følge af individuelle forhold, er det fuldt ud påkrævet og legitimt, etisk og lovmæssigt at behandle hesten.</w:t>
      </w:r>
    </w:p>
    <w:p w14:paraId="0443744C" w14:textId="77777777" w:rsidR="00FA4B75" w:rsidRDefault="00FA4B75" w:rsidP="00FA4B75">
      <w:pPr>
        <w:pStyle w:val="NoSpacing"/>
        <w:ind w:left="2268"/>
      </w:pPr>
      <w:r>
        <w:t>Medlemmer af TREC Danmark, der deltager i danske og internationale stævner, forventes at overholde ånd og ordlyd i gældende dansk lovgivning og reglementer.</w:t>
      </w:r>
    </w:p>
    <w:p w14:paraId="2AD13D23" w14:textId="77777777" w:rsidR="00FA4B75" w:rsidRDefault="00FA4B75" w:rsidP="00FA4B75">
      <w:pPr>
        <w:pStyle w:val="NoSpacing"/>
        <w:ind w:left="2268" w:hanging="2268"/>
      </w:pPr>
    </w:p>
    <w:p w14:paraId="38233D20" w14:textId="77777777" w:rsidR="00014BF5" w:rsidRDefault="00014BF5" w:rsidP="00FA4B75">
      <w:pPr>
        <w:pStyle w:val="NoSpacing"/>
        <w:ind w:left="2268" w:hanging="2268"/>
      </w:pPr>
    </w:p>
    <w:p w14:paraId="3AECC1EA" w14:textId="77777777" w:rsidR="00FA4B75" w:rsidRDefault="00FA4B75" w:rsidP="00FA4B75">
      <w:pPr>
        <w:pStyle w:val="NoSpacing"/>
        <w:ind w:left="2268" w:hanging="2268"/>
      </w:pPr>
      <w:r w:rsidRPr="00267044">
        <w:rPr>
          <w:b/>
        </w:rPr>
        <w:t>Transport</w:t>
      </w:r>
      <w:r>
        <w:rPr>
          <w:b/>
        </w:rPr>
        <w:t xml:space="preserve"> af heste</w:t>
      </w:r>
      <w:r w:rsidRPr="00267044">
        <w:t xml:space="preserve"> </w:t>
      </w:r>
      <w:r>
        <w:tab/>
        <w:t>TREC Danmark henviser til gældende lovgivning: Justitsministeriets og Fødevarestyrelsens love og publikationer.</w:t>
      </w:r>
    </w:p>
    <w:p w14:paraId="27D80287" w14:textId="77777777" w:rsidR="00FA4B75" w:rsidRDefault="00FA4B75" w:rsidP="00FA4B75">
      <w:pPr>
        <w:pStyle w:val="NoSpacing"/>
        <w:ind w:left="2268"/>
      </w:pPr>
      <w:r>
        <w:t>Danske ryttere, der deltager i TREC ved internationale stævner – uanset niveau, skal overholde denne lovgivning både ved ud- og hjemrejse, og skal derfor inden afrejse til EM og VM udarbejde detaljeret køreplan for turen til og fra stævnet med angivelse af køretider, hviletider og ”buffertider” samt navn/adresse på overnatningssteder på ruten.</w:t>
      </w:r>
    </w:p>
    <w:p w14:paraId="24E5CAB0" w14:textId="77777777" w:rsidR="00FA4B75" w:rsidRPr="00267044" w:rsidRDefault="00FA4B75" w:rsidP="00FA4B75">
      <w:pPr>
        <w:pStyle w:val="NoSpacing"/>
        <w:ind w:left="2268"/>
        <w:rPr>
          <w:b/>
        </w:rPr>
      </w:pPr>
      <w:r w:rsidRPr="00050F35">
        <w:rPr>
          <w:i/>
        </w:rPr>
        <w:t>Rytteren skal være opmærksom på, at tolkningen af EU-forordningen for transport af heste kan variere fra land til land, og det er derfor rytterens ansvar at overholde lovgivningen i de lande, hesten(e) transporteres i og igennem.</w:t>
      </w:r>
    </w:p>
    <w:p w14:paraId="1E9D8D05" w14:textId="77777777" w:rsidR="00C47E55" w:rsidRDefault="00C47E55"/>
    <w:sectPr w:rsidR="00C47E55" w:rsidSect="004A10E7">
      <w:footerReference w:type="default" r:id="rId11"/>
      <w:pgSz w:w="11906" w:h="16838"/>
      <w:pgMar w:top="568"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7979B5" w14:textId="77777777" w:rsidR="002400E7" w:rsidRDefault="002400E7" w:rsidP="005E1F88">
      <w:pPr>
        <w:spacing w:after="0" w:line="240" w:lineRule="auto"/>
      </w:pPr>
      <w:r>
        <w:separator/>
      </w:r>
    </w:p>
  </w:endnote>
  <w:endnote w:type="continuationSeparator" w:id="0">
    <w:p w14:paraId="7FADEFEC" w14:textId="77777777" w:rsidR="002400E7" w:rsidRDefault="002400E7" w:rsidP="005E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009148"/>
      <w:docPartObj>
        <w:docPartGallery w:val="Page Numbers (Bottom of Page)"/>
        <w:docPartUnique/>
      </w:docPartObj>
    </w:sdtPr>
    <w:sdtEndPr/>
    <w:sdtContent>
      <w:p w14:paraId="21A5CF2E" w14:textId="77777777" w:rsidR="00FD6602" w:rsidRDefault="005E1F88">
        <w:pPr>
          <w:pStyle w:val="Footer"/>
          <w:jc w:val="right"/>
        </w:pPr>
        <w:r>
          <w:fldChar w:fldCharType="begin"/>
        </w:r>
        <w:r w:rsidR="00014BF5">
          <w:instrText xml:space="preserve"> PAGE   \* MERGEFORMAT </w:instrText>
        </w:r>
        <w:r>
          <w:fldChar w:fldCharType="separate"/>
        </w:r>
        <w:r w:rsidR="003F7242">
          <w:rPr>
            <w:noProof/>
          </w:rPr>
          <w:t>1</w:t>
        </w:r>
        <w:r>
          <w:rPr>
            <w:noProof/>
          </w:rPr>
          <w:fldChar w:fldCharType="end"/>
        </w:r>
      </w:p>
    </w:sdtContent>
  </w:sdt>
  <w:p w14:paraId="7109E3FC" w14:textId="77777777" w:rsidR="00FD6602" w:rsidRDefault="00FD6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47D18B" w14:textId="77777777" w:rsidR="002400E7" w:rsidRDefault="002400E7" w:rsidP="005E1F88">
      <w:pPr>
        <w:spacing w:after="0" w:line="240" w:lineRule="auto"/>
      </w:pPr>
      <w:r>
        <w:separator/>
      </w:r>
    </w:p>
  </w:footnote>
  <w:footnote w:type="continuationSeparator" w:id="0">
    <w:p w14:paraId="717A7A4A" w14:textId="77777777" w:rsidR="002400E7" w:rsidRDefault="002400E7" w:rsidP="005E1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C4BB0"/>
    <w:multiLevelType w:val="hybridMultilevel"/>
    <w:tmpl w:val="C17642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64654C5"/>
    <w:multiLevelType w:val="hybridMultilevel"/>
    <w:tmpl w:val="A1E0A474"/>
    <w:lvl w:ilvl="0" w:tplc="04060001">
      <w:start w:val="1"/>
      <w:numFmt w:val="bullet"/>
      <w:lvlText w:val=""/>
      <w:lvlJc w:val="left"/>
      <w:pPr>
        <w:ind w:left="2988" w:hanging="360"/>
      </w:pPr>
      <w:rPr>
        <w:rFonts w:ascii="Symbol" w:hAnsi="Symbol" w:hint="default"/>
      </w:rPr>
    </w:lvl>
    <w:lvl w:ilvl="1" w:tplc="04060003" w:tentative="1">
      <w:start w:val="1"/>
      <w:numFmt w:val="bullet"/>
      <w:lvlText w:val="o"/>
      <w:lvlJc w:val="left"/>
      <w:pPr>
        <w:ind w:left="3708" w:hanging="360"/>
      </w:pPr>
      <w:rPr>
        <w:rFonts w:ascii="Courier New" w:hAnsi="Courier New" w:cs="Courier New" w:hint="default"/>
      </w:rPr>
    </w:lvl>
    <w:lvl w:ilvl="2" w:tplc="04060005" w:tentative="1">
      <w:start w:val="1"/>
      <w:numFmt w:val="bullet"/>
      <w:lvlText w:val=""/>
      <w:lvlJc w:val="left"/>
      <w:pPr>
        <w:ind w:left="4428" w:hanging="360"/>
      </w:pPr>
      <w:rPr>
        <w:rFonts w:ascii="Wingdings" w:hAnsi="Wingdings" w:hint="default"/>
      </w:rPr>
    </w:lvl>
    <w:lvl w:ilvl="3" w:tplc="04060001" w:tentative="1">
      <w:start w:val="1"/>
      <w:numFmt w:val="bullet"/>
      <w:lvlText w:val=""/>
      <w:lvlJc w:val="left"/>
      <w:pPr>
        <w:ind w:left="5148" w:hanging="360"/>
      </w:pPr>
      <w:rPr>
        <w:rFonts w:ascii="Symbol" w:hAnsi="Symbol" w:hint="default"/>
      </w:rPr>
    </w:lvl>
    <w:lvl w:ilvl="4" w:tplc="04060003" w:tentative="1">
      <w:start w:val="1"/>
      <w:numFmt w:val="bullet"/>
      <w:lvlText w:val="o"/>
      <w:lvlJc w:val="left"/>
      <w:pPr>
        <w:ind w:left="5868" w:hanging="360"/>
      </w:pPr>
      <w:rPr>
        <w:rFonts w:ascii="Courier New" w:hAnsi="Courier New" w:cs="Courier New" w:hint="default"/>
      </w:rPr>
    </w:lvl>
    <w:lvl w:ilvl="5" w:tplc="04060005" w:tentative="1">
      <w:start w:val="1"/>
      <w:numFmt w:val="bullet"/>
      <w:lvlText w:val=""/>
      <w:lvlJc w:val="left"/>
      <w:pPr>
        <w:ind w:left="6588" w:hanging="360"/>
      </w:pPr>
      <w:rPr>
        <w:rFonts w:ascii="Wingdings" w:hAnsi="Wingdings" w:hint="default"/>
      </w:rPr>
    </w:lvl>
    <w:lvl w:ilvl="6" w:tplc="04060001" w:tentative="1">
      <w:start w:val="1"/>
      <w:numFmt w:val="bullet"/>
      <w:lvlText w:val=""/>
      <w:lvlJc w:val="left"/>
      <w:pPr>
        <w:ind w:left="7308" w:hanging="360"/>
      </w:pPr>
      <w:rPr>
        <w:rFonts w:ascii="Symbol" w:hAnsi="Symbol" w:hint="default"/>
      </w:rPr>
    </w:lvl>
    <w:lvl w:ilvl="7" w:tplc="04060003" w:tentative="1">
      <w:start w:val="1"/>
      <w:numFmt w:val="bullet"/>
      <w:lvlText w:val="o"/>
      <w:lvlJc w:val="left"/>
      <w:pPr>
        <w:ind w:left="8028" w:hanging="360"/>
      </w:pPr>
      <w:rPr>
        <w:rFonts w:ascii="Courier New" w:hAnsi="Courier New" w:cs="Courier New" w:hint="default"/>
      </w:rPr>
    </w:lvl>
    <w:lvl w:ilvl="8" w:tplc="04060005" w:tentative="1">
      <w:start w:val="1"/>
      <w:numFmt w:val="bullet"/>
      <w:lvlText w:val=""/>
      <w:lvlJc w:val="left"/>
      <w:pPr>
        <w:ind w:left="8748" w:hanging="360"/>
      </w:pPr>
      <w:rPr>
        <w:rFonts w:ascii="Wingdings" w:hAnsi="Wingdings" w:hint="default"/>
      </w:rPr>
    </w:lvl>
  </w:abstractNum>
  <w:abstractNum w:abstractNumId="2" w15:restartNumberingAfterBreak="0">
    <w:nsid w:val="60C520D5"/>
    <w:multiLevelType w:val="hybridMultilevel"/>
    <w:tmpl w:val="77F6906E"/>
    <w:lvl w:ilvl="0" w:tplc="1DC0C09A">
      <w:start w:val="8"/>
      <w:numFmt w:val="bullet"/>
      <w:lvlText w:val=""/>
      <w:lvlJc w:val="left"/>
      <w:pPr>
        <w:ind w:left="2988" w:hanging="360"/>
      </w:pPr>
      <w:rPr>
        <w:rFonts w:ascii="Symbol" w:eastAsiaTheme="minorHAnsi" w:hAnsi="Symbol" w:cstheme="minorBidi" w:hint="default"/>
      </w:rPr>
    </w:lvl>
    <w:lvl w:ilvl="1" w:tplc="04060003" w:tentative="1">
      <w:start w:val="1"/>
      <w:numFmt w:val="bullet"/>
      <w:lvlText w:val="o"/>
      <w:lvlJc w:val="left"/>
      <w:pPr>
        <w:ind w:left="3708" w:hanging="360"/>
      </w:pPr>
      <w:rPr>
        <w:rFonts w:ascii="Courier New" w:hAnsi="Courier New" w:cs="Courier New" w:hint="default"/>
      </w:rPr>
    </w:lvl>
    <w:lvl w:ilvl="2" w:tplc="04060005" w:tentative="1">
      <w:start w:val="1"/>
      <w:numFmt w:val="bullet"/>
      <w:lvlText w:val=""/>
      <w:lvlJc w:val="left"/>
      <w:pPr>
        <w:ind w:left="4428" w:hanging="360"/>
      </w:pPr>
      <w:rPr>
        <w:rFonts w:ascii="Wingdings" w:hAnsi="Wingdings" w:hint="default"/>
      </w:rPr>
    </w:lvl>
    <w:lvl w:ilvl="3" w:tplc="04060001" w:tentative="1">
      <w:start w:val="1"/>
      <w:numFmt w:val="bullet"/>
      <w:lvlText w:val=""/>
      <w:lvlJc w:val="left"/>
      <w:pPr>
        <w:ind w:left="5148" w:hanging="360"/>
      </w:pPr>
      <w:rPr>
        <w:rFonts w:ascii="Symbol" w:hAnsi="Symbol" w:hint="default"/>
      </w:rPr>
    </w:lvl>
    <w:lvl w:ilvl="4" w:tplc="04060003" w:tentative="1">
      <w:start w:val="1"/>
      <w:numFmt w:val="bullet"/>
      <w:lvlText w:val="o"/>
      <w:lvlJc w:val="left"/>
      <w:pPr>
        <w:ind w:left="5868" w:hanging="360"/>
      </w:pPr>
      <w:rPr>
        <w:rFonts w:ascii="Courier New" w:hAnsi="Courier New" w:cs="Courier New" w:hint="default"/>
      </w:rPr>
    </w:lvl>
    <w:lvl w:ilvl="5" w:tplc="04060005" w:tentative="1">
      <w:start w:val="1"/>
      <w:numFmt w:val="bullet"/>
      <w:lvlText w:val=""/>
      <w:lvlJc w:val="left"/>
      <w:pPr>
        <w:ind w:left="6588" w:hanging="360"/>
      </w:pPr>
      <w:rPr>
        <w:rFonts w:ascii="Wingdings" w:hAnsi="Wingdings" w:hint="default"/>
      </w:rPr>
    </w:lvl>
    <w:lvl w:ilvl="6" w:tplc="04060001" w:tentative="1">
      <w:start w:val="1"/>
      <w:numFmt w:val="bullet"/>
      <w:lvlText w:val=""/>
      <w:lvlJc w:val="left"/>
      <w:pPr>
        <w:ind w:left="7308" w:hanging="360"/>
      </w:pPr>
      <w:rPr>
        <w:rFonts w:ascii="Symbol" w:hAnsi="Symbol" w:hint="default"/>
      </w:rPr>
    </w:lvl>
    <w:lvl w:ilvl="7" w:tplc="04060003" w:tentative="1">
      <w:start w:val="1"/>
      <w:numFmt w:val="bullet"/>
      <w:lvlText w:val="o"/>
      <w:lvlJc w:val="left"/>
      <w:pPr>
        <w:ind w:left="8028" w:hanging="360"/>
      </w:pPr>
      <w:rPr>
        <w:rFonts w:ascii="Courier New" w:hAnsi="Courier New" w:cs="Courier New" w:hint="default"/>
      </w:rPr>
    </w:lvl>
    <w:lvl w:ilvl="8" w:tplc="04060005" w:tentative="1">
      <w:start w:val="1"/>
      <w:numFmt w:val="bullet"/>
      <w:lvlText w:val=""/>
      <w:lvlJc w:val="left"/>
      <w:pPr>
        <w:ind w:left="8748" w:hanging="360"/>
      </w:pPr>
      <w:rPr>
        <w:rFonts w:ascii="Wingdings" w:hAnsi="Wingdings" w:hint="default"/>
      </w:rPr>
    </w:lvl>
  </w:abstractNum>
  <w:abstractNum w:abstractNumId="3" w15:restartNumberingAfterBreak="0">
    <w:nsid w:val="6F2B104F"/>
    <w:multiLevelType w:val="hybridMultilevel"/>
    <w:tmpl w:val="CB0E75CC"/>
    <w:lvl w:ilvl="0" w:tplc="04060001">
      <w:start w:val="1"/>
      <w:numFmt w:val="bullet"/>
      <w:lvlText w:val=""/>
      <w:lvlJc w:val="left"/>
      <w:pPr>
        <w:ind w:left="2744" w:hanging="360"/>
      </w:pPr>
      <w:rPr>
        <w:rFonts w:ascii="Symbol" w:hAnsi="Symbol" w:hint="default"/>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num w:numId="1" w16cid:durableId="1075131969">
    <w:abstractNumId w:val="0"/>
  </w:num>
  <w:num w:numId="2" w16cid:durableId="1760834282">
    <w:abstractNumId w:val="1"/>
  </w:num>
  <w:num w:numId="3" w16cid:durableId="1511871868">
    <w:abstractNumId w:val="3"/>
  </w:num>
  <w:num w:numId="4" w16cid:durableId="1048841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75"/>
    <w:rsid w:val="00014BF5"/>
    <w:rsid w:val="00064D96"/>
    <w:rsid w:val="00087F9B"/>
    <w:rsid w:val="002400E7"/>
    <w:rsid w:val="003F7242"/>
    <w:rsid w:val="005E1F88"/>
    <w:rsid w:val="00C47E55"/>
    <w:rsid w:val="00FA4B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61EA"/>
  <w15:docId w15:val="{77C8170B-64B3-4EA8-9B08-AD5EC98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B75"/>
    <w:pPr>
      <w:spacing w:after="0" w:line="240" w:lineRule="auto"/>
    </w:pPr>
  </w:style>
  <w:style w:type="table" w:styleId="TableGrid">
    <w:name w:val="Table Grid"/>
    <w:basedOn w:val="TableNormal"/>
    <w:uiPriority w:val="39"/>
    <w:rsid w:val="00FA4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FA4B75"/>
    <w:pPr>
      <w:pBdr>
        <w:top w:val="nil"/>
        <w:left w:val="nil"/>
        <w:bottom w:val="nil"/>
        <w:right w:val="nil"/>
        <w:between w:val="nil"/>
        <w:bar w:val="nil"/>
      </w:pBdr>
      <w:tabs>
        <w:tab w:val="left" w:pos="540"/>
        <w:tab w:val="left" w:pos="1080"/>
        <w:tab w:val="left" w:pos="1260"/>
        <w:tab w:val="left" w:pos="1440"/>
      </w:tabs>
      <w:spacing w:after="0" w:line="240" w:lineRule="auto"/>
    </w:pPr>
    <w:rPr>
      <w:rFonts w:ascii="Helvetica" w:eastAsia="Helvetica" w:hAnsi="Helvetica" w:cs="Helvetica"/>
      <w:color w:val="000000"/>
      <w:u w:color="000000"/>
      <w:bdr w:val="nil"/>
      <w:lang w:eastAsia="da-DK"/>
    </w:rPr>
  </w:style>
  <w:style w:type="character" w:customStyle="1" w:styleId="BodyTextChar">
    <w:name w:val="Body Text Char"/>
    <w:basedOn w:val="DefaultParagraphFont"/>
    <w:link w:val="BodyText"/>
    <w:rsid w:val="00FA4B75"/>
    <w:rPr>
      <w:rFonts w:ascii="Helvetica" w:eastAsia="Helvetica" w:hAnsi="Helvetica" w:cs="Helvetica"/>
      <w:color w:val="000000"/>
      <w:u w:color="000000"/>
      <w:bdr w:val="nil"/>
      <w:lang w:eastAsia="da-DK"/>
    </w:rPr>
  </w:style>
  <w:style w:type="character" w:styleId="Hyperlink">
    <w:name w:val="Hyperlink"/>
    <w:basedOn w:val="DefaultParagraphFont"/>
    <w:uiPriority w:val="99"/>
    <w:unhideWhenUsed/>
    <w:rsid w:val="00FA4B75"/>
    <w:rPr>
      <w:color w:val="0000FF" w:themeColor="hyperlink"/>
      <w:u w:val="single"/>
    </w:rPr>
  </w:style>
  <w:style w:type="paragraph" w:styleId="Footer">
    <w:name w:val="footer"/>
    <w:basedOn w:val="Normal"/>
    <w:link w:val="FooterChar"/>
    <w:uiPriority w:val="99"/>
    <w:unhideWhenUsed/>
    <w:rsid w:val="00FA4B75"/>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4B75"/>
  </w:style>
  <w:style w:type="paragraph" w:styleId="ListParagraph">
    <w:name w:val="List Paragraph"/>
    <w:basedOn w:val="Normal"/>
    <w:uiPriority w:val="34"/>
    <w:qFormat/>
    <w:rsid w:val="00FA4B75"/>
    <w:pPr>
      <w:ind w:left="720"/>
      <w:contextualSpacing/>
    </w:pPr>
  </w:style>
  <w:style w:type="character" w:styleId="CommentReference">
    <w:name w:val="annotation reference"/>
    <w:basedOn w:val="DefaultParagraphFont"/>
    <w:uiPriority w:val="99"/>
    <w:semiHidden/>
    <w:unhideWhenUsed/>
    <w:rsid w:val="00FA4B75"/>
    <w:rPr>
      <w:sz w:val="16"/>
      <w:szCs w:val="16"/>
    </w:rPr>
  </w:style>
  <w:style w:type="paragraph" w:styleId="CommentText">
    <w:name w:val="annotation text"/>
    <w:basedOn w:val="Normal"/>
    <w:link w:val="CommentTextChar"/>
    <w:uiPriority w:val="99"/>
    <w:semiHidden/>
    <w:unhideWhenUsed/>
    <w:rsid w:val="00FA4B75"/>
    <w:pPr>
      <w:spacing w:line="240" w:lineRule="auto"/>
    </w:pPr>
    <w:rPr>
      <w:sz w:val="20"/>
      <w:szCs w:val="20"/>
    </w:rPr>
  </w:style>
  <w:style w:type="character" w:customStyle="1" w:styleId="CommentTextChar">
    <w:name w:val="Comment Text Char"/>
    <w:basedOn w:val="DefaultParagraphFont"/>
    <w:link w:val="CommentText"/>
    <w:uiPriority w:val="99"/>
    <w:semiHidden/>
    <w:rsid w:val="00FA4B75"/>
    <w:rPr>
      <w:sz w:val="20"/>
      <w:szCs w:val="20"/>
    </w:rPr>
  </w:style>
  <w:style w:type="paragraph" w:styleId="BalloonText">
    <w:name w:val="Balloon Text"/>
    <w:basedOn w:val="Normal"/>
    <w:link w:val="BalloonTextChar"/>
    <w:uiPriority w:val="99"/>
    <w:semiHidden/>
    <w:unhideWhenUsed/>
    <w:rsid w:val="00FA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styrelse@trec.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rec.dk" TargetMode="External"/><Relationship Id="rId4" Type="http://schemas.openxmlformats.org/officeDocument/2006/relationships/webSettings" Target="webSettings.xml"/><Relationship Id="rId9" Type="http://schemas.openxmlformats.org/officeDocument/2006/relationships/hyperlink" Target="mailto:bestyrelse@trec.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10908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Märcher</dc:creator>
  <cp:lastModifiedBy>camellenjorgensen@gmail.com</cp:lastModifiedBy>
  <cp:revision>2</cp:revision>
  <dcterms:created xsi:type="dcterms:W3CDTF">2024-04-01T06:42:00Z</dcterms:created>
  <dcterms:modified xsi:type="dcterms:W3CDTF">2024-04-01T06:42:00Z</dcterms:modified>
</cp:coreProperties>
</file>